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1203" w14:textId="77777777" w:rsidR="00A17F61" w:rsidRDefault="00000000">
      <w:pPr>
        <w:spacing w:after="0" w:line="259" w:lineRule="auto"/>
        <w:ind w:left="0" w:right="781" w:firstLine="0"/>
        <w:jc w:val="center"/>
      </w:pPr>
      <w:r>
        <w:rPr>
          <w:rFonts w:ascii="Calibri" w:eastAsia="Calibri" w:hAnsi="Calibri" w:cs="Calibri"/>
          <w:color w:val="2E74B5"/>
          <w:sz w:val="44"/>
        </w:rPr>
        <w:t xml:space="preserve">Vineet Singh Negi </w:t>
      </w:r>
    </w:p>
    <w:p w14:paraId="67E3B176" w14:textId="77777777" w:rsidR="00A17F61" w:rsidRDefault="00000000">
      <w:pPr>
        <w:spacing w:after="0" w:line="259" w:lineRule="auto"/>
        <w:ind w:left="90" w:right="0" w:firstLine="0"/>
        <w:jc w:val="left"/>
      </w:pPr>
      <w:r>
        <w:rPr>
          <w:rFonts w:ascii="Calibri" w:eastAsia="Calibri" w:hAnsi="Calibri" w:cs="Calibri"/>
          <w:color w:val="404040"/>
          <w:sz w:val="30"/>
        </w:rPr>
        <w:t xml:space="preserve">Process Associate </w:t>
      </w:r>
    </w:p>
    <w:p w14:paraId="251BFACC" w14:textId="77777777" w:rsidR="00A17F61" w:rsidRDefault="00000000">
      <w:pPr>
        <w:spacing w:after="99" w:line="259" w:lineRule="auto"/>
        <w:ind w:left="90" w:right="0" w:firstLine="0"/>
        <w:jc w:val="left"/>
      </w:pPr>
      <w:r>
        <w:rPr>
          <w:rFonts w:ascii="Calibri" w:eastAsia="Calibri" w:hAnsi="Calibri" w:cs="Calibri"/>
          <w:sz w:val="21"/>
        </w:rPr>
        <w:t xml:space="preserve">New Delhi, India |8076170460| </w:t>
      </w:r>
      <w:r>
        <w:rPr>
          <w:rFonts w:ascii="Calibri" w:eastAsia="Calibri" w:hAnsi="Calibri" w:cs="Calibri"/>
          <w:color w:val="1F4E79"/>
          <w:sz w:val="21"/>
          <w:u w:val="single" w:color="1F4E79"/>
        </w:rPr>
        <w:t>negivineet505@gmail.com</w:t>
      </w:r>
      <w:r>
        <w:rPr>
          <w:rFonts w:ascii="Calibri" w:eastAsia="Calibri" w:hAnsi="Calibri" w:cs="Calibri"/>
          <w:color w:val="1F4E79"/>
          <w:sz w:val="21"/>
        </w:rPr>
        <w:t xml:space="preserve">   </w:t>
      </w:r>
    </w:p>
    <w:p w14:paraId="3D713269" w14:textId="77777777" w:rsidR="00A17F61" w:rsidRDefault="00000000">
      <w:pPr>
        <w:spacing w:after="267" w:line="259" w:lineRule="auto"/>
        <w:ind w:left="0" w:right="745" w:firstLine="0"/>
        <w:jc w:val="center"/>
      </w:pPr>
      <w:r>
        <w:rPr>
          <w:rFonts w:ascii="Calibri" w:eastAsia="Calibri" w:hAnsi="Calibri" w:cs="Calibri"/>
          <w:sz w:val="21"/>
        </w:rPr>
        <w:t xml:space="preserve"> </w:t>
      </w:r>
    </w:p>
    <w:p w14:paraId="3AA7B8DE" w14:textId="77777777" w:rsidR="00A17F61" w:rsidRDefault="00000000">
      <w:pPr>
        <w:pStyle w:val="Heading1"/>
        <w:tabs>
          <w:tab w:val="center" w:pos="1861"/>
          <w:tab w:val="center" w:pos="5132"/>
        </w:tabs>
        <w:ind w:left="0" w:firstLine="0"/>
      </w:pPr>
      <w:r>
        <w:t xml:space="preserve">Objective </w:t>
      </w:r>
      <w:r>
        <w:tab/>
        <w:t xml:space="preserve"> </w:t>
      </w:r>
      <w:r>
        <w:tab/>
        <w:t xml:space="preserve"> </w:t>
      </w:r>
    </w:p>
    <w:p w14:paraId="4F6BE481" w14:textId="77777777" w:rsidR="00A17F61" w:rsidRDefault="00000000">
      <w:pPr>
        <w:spacing w:after="40" w:line="259" w:lineRule="auto"/>
        <w:ind w:left="6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7C8DE2" wp14:editId="365BE567">
                <wp:extent cx="6441441" cy="6350"/>
                <wp:effectExtent l="0" t="0" r="0" b="0"/>
                <wp:docPr id="1841" name="Group 1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1441" cy="6350"/>
                          <a:chOff x="0" y="0"/>
                          <a:chExt cx="6441441" cy="6350"/>
                        </a:xfrm>
                      </wpg:grpSpPr>
                      <wps:wsp>
                        <wps:cNvPr id="2278" name="Shape 2278"/>
                        <wps:cNvSpPr/>
                        <wps:spPr>
                          <a:xfrm>
                            <a:off x="0" y="0"/>
                            <a:ext cx="6441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41" h="9144">
                                <a:moveTo>
                                  <a:pt x="0" y="0"/>
                                </a:moveTo>
                                <a:lnTo>
                                  <a:pt x="6441441" y="0"/>
                                </a:lnTo>
                                <a:lnTo>
                                  <a:pt x="6441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1" style="width:507.2pt;height:0.5pt;mso-position-horizontal-relative:char;mso-position-vertical-relative:line" coordsize="64414,63">
                <v:shape id="Shape 2279" style="position:absolute;width:64414;height:91;left:0;top:0;" coordsize="6441441,9144" path="m0,0l6441441,0l6441441,9144l0,9144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</w:p>
    <w:p w14:paraId="470B3F64" w14:textId="77777777" w:rsidR="004B4233" w:rsidRDefault="00000000">
      <w:pPr>
        <w:spacing w:after="0"/>
        <w:ind w:left="90" w:right="939" w:firstLine="0"/>
      </w:pPr>
      <w:r>
        <w:t xml:space="preserve">Process Associate with 4 years of experience in Fraud Investigation, Transaction Monitoring, AML, and KYC. Skilled in </w:t>
      </w:r>
      <w:proofErr w:type="spellStart"/>
      <w:r>
        <w:t>analyzing</w:t>
      </w:r>
      <w:proofErr w:type="spellEnd"/>
      <w:r>
        <w:t xml:space="preserve"> transactional data to detect unusual patterns, investigating potential suspicious activities, and ensuring compliance with regulatory requirements. </w:t>
      </w:r>
    </w:p>
    <w:p w14:paraId="2E17639A" w14:textId="77777777" w:rsidR="004B4233" w:rsidRDefault="004B4233">
      <w:pPr>
        <w:spacing w:after="0"/>
        <w:ind w:left="90" w:right="939" w:firstLine="0"/>
      </w:pPr>
    </w:p>
    <w:p w14:paraId="792A0A1E" w14:textId="158BC529" w:rsidR="00A17F61" w:rsidRDefault="00000000">
      <w:pPr>
        <w:spacing w:after="0"/>
        <w:ind w:left="90" w:right="939" w:firstLine="0"/>
      </w:pPr>
      <w:r>
        <w:rPr>
          <w:rFonts w:ascii="Calibri" w:eastAsia="Calibri" w:hAnsi="Calibri" w:cs="Calibri"/>
          <w:color w:val="2E74B5"/>
          <w:sz w:val="36"/>
        </w:rPr>
        <w:t xml:space="preserve">Skills &amp; Abilities  </w:t>
      </w:r>
    </w:p>
    <w:p w14:paraId="5CD31842" w14:textId="77777777" w:rsidR="00A17F61" w:rsidRDefault="00000000">
      <w:pPr>
        <w:spacing w:after="65" w:line="259" w:lineRule="auto"/>
        <w:ind w:left="6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E7C7323" wp14:editId="0759F3F0">
                <wp:extent cx="6441441" cy="6350"/>
                <wp:effectExtent l="0" t="0" r="0" b="0"/>
                <wp:docPr id="1842" name="Group 1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1441" cy="6350"/>
                          <a:chOff x="0" y="0"/>
                          <a:chExt cx="6441441" cy="6350"/>
                        </a:xfrm>
                      </wpg:grpSpPr>
                      <wps:wsp>
                        <wps:cNvPr id="2280" name="Shape 2280"/>
                        <wps:cNvSpPr/>
                        <wps:spPr>
                          <a:xfrm>
                            <a:off x="0" y="0"/>
                            <a:ext cx="6441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41" h="9144">
                                <a:moveTo>
                                  <a:pt x="0" y="0"/>
                                </a:moveTo>
                                <a:lnTo>
                                  <a:pt x="6441441" y="0"/>
                                </a:lnTo>
                                <a:lnTo>
                                  <a:pt x="6441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2" style="width:507.2pt;height:0.5pt;mso-position-horizontal-relative:char;mso-position-vertical-relative:line" coordsize="64414,63">
                <v:shape id="Shape 2281" style="position:absolute;width:64414;height:91;left:0;top:0;" coordsize="6441441,9144" path="m0,0l6441441,0l6441441,9144l0,9144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</w:p>
    <w:p w14:paraId="29568374" w14:textId="77777777" w:rsidR="00A17F61" w:rsidRDefault="00000000">
      <w:pPr>
        <w:numPr>
          <w:ilvl w:val="0"/>
          <w:numId w:val="1"/>
        </w:numPr>
        <w:ind w:right="939" w:hanging="361"/>
      </w:pPr>
      <w:r>
        <w:rPr>
          <w:b/>
        </w:rPr>
        <w:t>Screening Tools:</w:t>
      </w:r>
      <w:r>
        <w:t xml:space="preserve"> Experienced with Clear, World Check, COS, </w:t>
      </w:r>
      <w:proofErr w:type="spellStart"/>
      <w:r>
        <w:t>Tabapay</w:t>
      </w:r>
      <w:proofErr w:type="spellEnd"/>
      <w:r>
        <w:t xml:space="preserve">, COS and Lexis Nexis other AML compliance software for sanctions screening </w:t>
      </w:r>
    </w:p>
    <w:p w14:paraId="76FDCD0F" w14:textId="77777777" w:rsidR="00A17F61" w:rsidRDefault="00000000">
      <w:pPr>
        <w:numPr>
          <w:ilvl w:val="0"/>
          <w:numId w:val="1"/>
        </w:numPr>
        <w:spacing w:after="6"/>
        <w:ind w:right="939" w:hanging="361"/>
      </w:pPr>
      <w:r>
        <w:rPr>
          <w:b/>
        </w:rPr>
        <w:t>Tools:</w:t>
      </w:r>
      <w:r>
        <w:t xml:space="preserve"> MS Excel, MS Office, Troubleshooting, Operating System </w:t>
      </w:r>
    </w:p>
    <w:p w14:paraId="01B0A314" w14:textId="77777777" w:rsidR="00A17F61" w:rsidRDefault="00000000">
      <w:pPr>
        <w:numPr>
          <w:ilvl w:val="0"/>
          <w:numId w:val="1"/>
        </w:numPr>
        <w:spacing w:after="338"/>
        <w:ind w:right="939" w:hanging="361"/>
      </w:pPr>
      <w:r>
        <w:rPr>
          <w:b/>
        </w:rPr>
        <w:t>Data Analysis:</w:t>
      </w:r>
      <w:r>
        <w:t xml:space="preserve"> KPI Tracking, Pattern Analysis and Alert Data Review, to resolve alerts, escalate risks, and support compliance decisions. </w:t>
      </w:r>
    </w:p>
    <w:p w14:paraId="706CD5A8" w14:textId="77777777" w:rsidR="00A17F61" w:rsidRDefault="00000000">
      <w:pPr>
        <w:pStyle w:val="Heading1"/>
        <w:tabs>
          <w:tab w:val="center" w:pos="9519"/>
          <w:tab w:val="center" w:pos="10264"/>
          <w:tab w:val="center" w:pos="11010"/>
        </w:tabs>
        <w:ind w:left="0" w:firstLine="0"/>
      </w:pPr>
      <w:r>
        <w:t xml:space="preserve">Experience </w:t>
      </w:r>
      <w:r>
        <w:tab/>
      </w:r>
      <w:r>
        <w:rPr>
          <w:color w:val="000000"/>
          <w:sz w:val="32"/>
          <w:vertAlign w:val="superscript"/>
        </w:rPr>
        <w:t xml:space="preserve"> </w:t>
      </w:r>
      <w:r>
        <w:rPr>
          <w:color w:val="000000"/>
          <w:sz w:val="32"/>
          <w:vertAlign w:val="superscript"/>
        </w:rPr>
        <w:tab/>
        <w:t xml:space="preserve"> </w:t>
      </w:r>
      <w:r>
        <w:rPr>
          <w:color w:val="000000"/>
          <w:sz w:val="32"/>
          <w:vertAlign w:val="superscript"/>
        </w:rPr>
        <w:tab/>
        <w:t xml:space="preserve"> </w:t>
      </w:r>
    </w:p>
    <w:p w14:paraId="1A4D925C" w14:textId="77777777" w:rsidR="00A17F61" w:rsidRDefault="00000000">
      <w:pPr>
        <w:spacing w:after="0" w:line="259" w:lineRule="auto"/>
        <w:ind w:left="-5" w:right="0" w:hanging="10"/>
        <w:jc w:val="left"/>
      </w:pPr>
      <w:r>
        <w:rPr>
          <w:rFonts w:ascii="Calibri" w:eastAsia="Calibri" w:hAnsi="Calibri" w:cs="Calibri"/>
          <w:sz w:val="22"/>
        </w:rPr>
        <w:t xml:space="preserve"> Process Associate (AML Analyst), Genpact  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</w:rPr>
        <w:t xml:space="preserve">March-2024 to Present </w:t>
      </w:r>
      <w:r>
        <w:rPr>
          <w:rFonts w:ascii="Calibri" w:eastAsia="Calibri" w:hAnsi="Calibri" w:cs="Calibri"/>
          <w:sz w:val="22"/>
        </w:rPr>
        <w:t xml:space="preserve"> </w:t>
      </w:r>
    </w:p>
    <w:p w14:paraId="2CF4956F" w14:textId="77777777" w:rsidR="00A17F61" w:rsidRDefault="00000000">
      <w:pPr>
        <w:spacing w:after="345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EFF929" wp14:editId="31364B80">
                <wp:extent cx="6044566" cy="6350"/>
                <wp:effectExtent l="0" t="0" r="0" b="0"/>
                <wp:docPr id="1843" name="Group 1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4566" cy="6350"/>
                          <a:chOff x="0" y="0"/>
                          <a:chExt cx="6044566" cy="6350"/>
                        </a:xfrm>
                      </wpg:grpSpPr>
                      <wps:wsp>
                        <wps:cNvPr id="2282" name="Shape 2282"/>
                        <wps:cNvSpPr/>
                        <wps:spPr>
                          <a:xfrm>
                            <a:off x="0" y="0"/>
                            <a:ext cx="6044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4566" h="9144">
                                <a:moveTo>
                                  <a:pt x="0" y="0"/>
                                </a:moveTo>
                                <a:lnTo>
                                  <a:pt x="6044566" y="0"/>
                                </a:lnTo>
                                <a:lnTo>
                                  <a:pt x="6044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3" style="width:475.95pt;height:0.5pt;mso-position-horizontal-relative:char;mso-position-vertical-relative:line" coordsize="60445,63">
                <v:shape id="Shape 2283" style="position:absolute;width:60445;height:91;left:0;top:0;" coordsize="6044566,9144" path="m0,0l6044566,0l6044566,9144l0,9144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</w:p>
    <w:p w14:paraId="3E159E23" w14:textId="77777777" w:rsidR="00A17F61" w:rsidRDefault="00000000">
      <w:pPr>
        <w:numPr>
          <w:ilvl w:val="0"/>
          <w:numId w:val="2"/>
        </w:numPr>
        <w:ind w:right="939" w:hanging="361"/>
      </w:pPr>
      <w:r>
        <w:t xml:space="preserve">Proficient in monitoring financial transactions to identify unusual or suspicious patterns that may indicate potential money laundering or fraudulent activity. </w:t>
      </w:r>
    </w:p>
    <w:p w14:paraId="5E60843F" w14:textId="77777777" w:rsidR="00A17F61" w:rsidRDefault="00000000">
      <w:pPr>
        <w:numPr>
          <w:ilvl w:val="0"/>
          <w:numId w:val="2"/>
        </w:numPr>
        <w:ind w:right="939" w:hanging="361"/>
      </w:pPr>
      <w:r>
        <w:t xml:space="preserve">Conduct thorough reviews of alerts generated by transaction monitoring systems to determine whether activity is consistent with customer profiles. </w:t>
      </w:r>
    </w:p>
    <w:p w14:paraId="37BE556E" w14:textId="77777777" w:rsidR="00A17F61" w:rsidRDefault="00000000">
      <w:pPr>
        <w:numPr>
          <w:ilvl w:val="0"/>
          <w:numId w:val="2"/>
        </w:numPr>
        <w:ind w:right="939" w:hanging="361"/>
      </w:pPr>
      <w:r>
        <w:t xml:space="preserve">Skilled in investigating flagged transactions, </w:t>
      </w:r>
      <w:proofErr w:type="spellStart"/>
      <w:r>
        <w:t>analyzing</w:t>
      </w:r>
      <w:proofErr w:type="spellEnd"/>
      <w:r>
        <w:t xml:space="preserve"> source/destination of funds, and escalating suspicious activity as per compliance protocols. </w:t>
      </w:r>
    </w:p>
    <w:p w14:paraId="1BE0300F" w14:textId="77777777" w:rsidR="00A17F61" w:rsidRDefault="00000000">
      <w:pPr>
        <w:numPr>
          <w:ilvl w:val="0"/>
          <w:numId w:val="2"/>
        </w:numPr>
        <w:ind w:right="939" w:hanging="361"/>
      </w:pPr>
      <w:r>
        <w:t xml:space="preserve">Assess alerts to differentiate between false positives and genuine suspicious activities, ensuring timely resolution. </w:t>
      </w:r>
    </w:p>
    <w:p w14:paraId="02A073CA" w14:textId="77777777" w:rsidR="00A17F61" w:rsidRDefault="00000000">
      <w:pPr>
        <w:numPr>
          <w:ilvl w:val="0"/>
          <w:numId w:val="2"/>
        </w:numPr>
        <w:ind w:right="939" w:hanging="361"/>
      </w:pPr>
      <w:r>
        <w:t xml:space="preserve">Escalate confirmed suspicious cases to senior compliance or AML teams for further investigation and regulatory reporting (SAR/STR). </w:t>
      </w:r>
    </w:p>
    <w:p w14:paraId="6086B2AB" w14:textId="74E8D9FB" w:rsidR="00A17F61" w:rsidRDefault="004B4233">
      <w:pPr>
        <w:numPr>
          <w:ilvl w:val="0"/>
          <w:numId w:val="2"/>
        </w:numPr>
        <w:ind w:right="939" w:hanging="361"/>
      </w:pPr>
      <w:r>
        <w:t>Conduct daily sanction, PEP (Politically Exposed person) and adverse media screening using tools like World check and lexis Nexis.</w:t>
      </w:r>
    </w:p>
    <w:p w14:paraId="2A81435C" w14:textId="7C6218E3" w:rsidR="00A17F61" w:rsidRDefault="004B4233">
      <w:pPr>
        <w:numPr>
          <w:ilvl w:val="0"/>
          <w:numId w:val="2"/>
        </w:numPr>
        <w:ind w:right="939" w:hanging="361"/>
      </w:pPr>
      <w:r>
        <w:t>Review customer onboarding details (KYC/CDD) for potential sanction and PEP matches.</w:t>
      </w:r>
    </w:p>
    <w:p w14:paraId="3C01E6DB" w14:textId="77777777" w:rsidR="00A17F61" w:rsidRDefault="00000000">
      <w:pPr>
        <w:numPr>
          <w:ilvl w:val="0"/>
          <w:numId w:val="2"/>
        </w:numPr>
        <w:ind w:right="939" w:hanging="361"/>
      </w:pPr>
      <w:r>
        <w:t xml:space="preserve">Reviewed KYC information of new and existing clients to validate customer risk ratings and ensure alignment with ongoing transaction monitoring. </w:t>
      </w:r>
    </w:p>
    <w:p w14:paraId="30022F82" w14:textId="77777777" w:rsidR="00A17F61" w:rsidRDefault="00000000">
      <w:pPr>
        <w:numPr>
          <w:ilvl w:val="0"/>
          <w:numId w:val="2"/>
        </w:numPr>
        <w:spacing w:after="307"/>
        <w:ind w:right="939" w:hanging="361"/>
      </w:pPr>
      <w:r>
        <w:t xml:space="preserve">Hands on experience working with AML and Transaction Monitoring tools such as </w:t>
      </w:r>
      <w:proofErr w:type="spellStart"/>
      <w:r>
        <w:t>Verafin</w:t>
      </w:r>
      <w:proofErr w:type="spellEnd"/>
      <w:r>
        <w:t xml:space="preserve">, COS, and </w:t>
      </w:r>
      <w:proofErr w:type="spellStart"/>
      <w:r>
        <w:t>Tabapay</w:t>
      </w:r>
      <w:proofErr w:type="spellEnd"/>
      <w:r>
        <w:t xml:space="preserve">. </w:t>
      </w:r>
    </w:p>
    <w:p w14:paraId="5EE560CC" w14:textId="77777777" w:rsidR="00A17F61" w:rsidRDefault="00000000">
      <w:pPr>
        <w:spacing w:after="43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1"/>
        </w:rPr>
        <w:t xml:space="preserve"> </w:t>
      </w:r>
      <w:r>
        <w:rPr>
          <w:rFonts w:ascii="Calibri" w:eastAsia="Calibri" w:hAnsi="Calibri" w:cs="Calibri"/>
          <w:sz w:val="21"/>
        </w:rPr>
        <w:tab/>
        <w:t xml:space="preserve"> </w:t>
      </w:r>
      <w:r>
        <w:rPr>
          <w:rFonts w:ascii="Calibri" w:eastAsia="Calibri" w:hAnsi="Calibri" w:cs="Calibri"/>
          <w:sz w:val="21"/>
        </w:rPr>
        <w:tab/>
        <w:t xml:space="preserve"> </w:t>
      </w:r>
    </w:p>
    <w:p w14:paraId="20BF5265" w14:textId="334B40A1" w:rsidR="00A17F61" w:rsidRDefault="004B4233">
      <w:pPr>
        <w:spacing w:after="0" w:line="259" w:lineRule="auto"/>
        <w:ind w:left="-5" w:right="0" w:hanging="10"/>
        <w:jc w:val="left"/>
      </w:pPr>
      <w:r>
        <w:rPr>
          <w:rFonts w:ascii="Calibri" w:eastAsia="Calibri" w:hAnsi="Calibri" w:cs="Calibri"/>
          <w:sz w:val="22"/>
        </w:rPr>
        <w:t xml:space="preserve">Sr. </w:t>
      </w:r>
      <w:r w:rsidR="00000000">
        <w:rPr>
          <w:rFonts w:ascii="Calibri" w:eastAsia="Calibri" w:hAnsi="Calibri" w:cs="Calibri"/>
          <w:sz w:val="22"/>
        </w:rPr>
        <w:t xml:space="preserve">Analyst Concentrix, Gurgaon </w:t>
      </w:r>
      <w:r w:rsidR="00000000">
        <w:rPr>
          <w:rFonts w:ascii="Calibri" w:eastAsia="Calibri" w:hAnsi="Calibri" w:cs="Calibri"/>
        </w:rPr>
        <w:t>July- 2021 – Feb-2024</w:t>
      </w:r>
      <w:r w:rsidR="00000000">
        <w:rPr>
          <w:rFonts w:ascii="Calibri" w:eastAsia="Calibri" w:hAnsi="Calibri" w:cs="Calibri"/>
          <w:color w:val="1F4E79"/>
          <w:sz w:val="22"/>
        </w:rPr>
        <w:t xml:space="preserve"> </w:t>
      </w:r>
    </w:p>
    <w:p w14:paraId="66C8AFD3" w14:textId="77777777" w:rsidR="00A17F61" w:rsidRDefault="00000000">
      <w:pPr>
        <w:spacing w:after="105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AFB2A6C" wp14:editId="60971832">
                <wp:extent cx="6044566" cy="6350"/>
                <wp:effectExtent l="0" t="0" r="0" b="0"/>
                <wp:docPr id="1844" name="Group 1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4566" cy="6350"/>
                          <a:chOff x="0" y="0"/>
                          <a:chExt cx="6044566" cy="6350"/>
                        </a:xfrm>
                      </wpg:grpSpPr>
                      <wps:wsp>
                        <wps:cNvPr id="2284" name="Shape 2284"/>
                        <wps:cNvSpPr/>
                        <wps:spPr>
                          <a:xfrm>
                            <a:off x="0" y="0"/>
                            <a:ext cx="6044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4566" h="9144">
                                <a:moveTo>
                                  <a:pt x="0" y="0"/>
                                </a:moveTo>
                                <a:lnTo>
                                  <a:pt x="6044566" y="0"/>
                                </a:lnTo>
                                <a:lnTo>
                                  <a:pt x="6044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4" style="width:475.95pt;height:0.5pt;mso-position-horizontal-relative:char;mso-position-vertical-relative:line" coordsize="60445,63">
                <v:shape id="Shape 2285" style="position:absolute;width:60445;height:91;left:0;top:0;" coordsize="6044566,9144" path="m0,0l6044566,0l6044566,9144l0,9144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</w:p>
    <w:p w14:paraId="3C0E2844" w14:textId="77777777" w:rsidR="00A17F61" w:rsidRDefault="00000000">
      <w:pPr>
        <w:numPr>
          <w:ilvl w:val="0"/>
          <w:numId w:val="2"/>
        </w:numPr>
        <w:ind w:right="939" w:hanging="361"/>
      </w:pPr>
      <w:r>
        <w:t xml:space="preserve">Consistently assess customer accounts and transactional activities to identify </w:t>
      </w:r>
      <w:proofErr w:type="spellStart"/>
      <w:r>
        <w:t>behavioral</w:t>
      </w:r>
      <w:proofErr w:type="spellEnd"/>
      <w:r>
        <w:t xml:space="preserve"> changes that may indicate money laundering, fraud, or other financial crime risks. </w:t>
      </w:r>
    </w:p>
    <w:p w14:paraId="062B80CA" w14:textId="77777777" w:rsidR="00A17F61" w:rsidRDefault="00000000">
      <w:pPr>
        <w:numPr>
          <w:ilvl w:val="0"/>
          <w:numId w:val="2"/>
        </w:numPr>
        <w:ind w:right="939" w:hanging="361"/>
      </w:pPr>
      <w:r>
        <w:t xml:space="preserve">Enhance accuracy of transaction monitoring reports by thoroughly reviewing customer profiles, account activities, and alert histories. </w:t>
      </w:r>
    </w:p>
    <w:p w14:paraId="4DF86ED1" w14:textId="77777777" w:rsidR="00A17F61" w:rsidRDefault="00000000">
      <w:pPr>
        <w:numPr>
          <w:ilvl w:val="0"/>
          <w:numId w:val="2"/>
        </w:numPr>
        <w:ind w:right="939" w:hanging="361"/>
      </w:pPr>
      <w:r>
        <w:lastRenderedPageBreak/>
        <w:t xml:space="preserve">Examine financial documents and transactional data to detect suspicious patterns and ensure adherence to AML/Transaction Monitoring standards. </w:t>
      </w:r>
    </w:p>
    <w:p w14:paraId="4EC032EC" w14:textId="77777777" w:rsidR="00A17F61" w:rsidRDefault="00000000">
      <w:pPr>
        <w:numPr>
          <w:ilvl w:val="0"/>
          <w:numId w:val="2"/>
        </w:numPr>
        <w:ind w:right="939" w:hanging="361"/>
      </w:pPr>
      <w:r>
        <w:t xml:space="preserve">Manage a high volume of alerts and cases daily, improving resolution rates through effective prioritization and investigative techniques. </w:t>
      </w:r>
    </w:p>
    <w:p w14:paraId="3E6E7042" w14:textId="77777777" w:rsidR="00A17F61" w:rsidRDefault="00000000">
      <w:pPr>
        <w:numPr>
          <w:ilvl w:val="0"/>
          <w:numId w:val="2"/>
        </w:numPr>
        <w:ind w:right="939" w:hanging="361"/>
      </w:pPr>
      <w:r>
        <w:t xml:space="preserve">Stay updated on emerging trends in financial crime, AML regulations, and typologies, sharing insights to strengthen monitoring frameworks and team knowledge. </w:t>
      </w:r>
    </w:p>
    <w:p w14:paraId="2DD57CBA" w14:textId="77777777" w:rsidR="00A17F61" w:rsidRDefault="00000000">
      <w:pPr>
        <w:numPr>
          <w:ilvl w:val="0"/>
          <w:numId w:val="2"/>
        </w:numPr>
        <w:ind w:right="939" w:hanging="361"/>
      </w:pPr>
      <w:r>
        <w:t xml:space="preserve">Conduct KYC/CDD reviews of individuals, corporations, and charities to validate customer risk levels and ensure compliance with AML procedures. </w:t>
      </w:r>
    </w:p>
    <w:p w14:paraId="721EC2DC" w14:textId="77777777" w:rsidR="00A17F61" w:rsidRDefault="00000000">
      <w:pPr>
        <w:spacing w:after="0" w:line="259" w:lineRule="auto"/>
        <w:ind w:left="811" w:right="0" w:firstLine="0"/>
        <w:jc w:val="left"/>
      </w:pPr>
      <w:r>
        <w:t xml:space="preserve"> </w:t>
      </w:r>
    </w:p>
    <w:p w14:paraId="21266337" w14:textId="77777777" w:rsidR="00A17F61" w:rsidRDefault="00000000">
      <w:pPr>
        <w:spacing w:after="266" w:line="259" w:lineRule="auto"/>
        <w:ind w:left="811" w:right="0" w:firstLine="0"/>
        <w:jc w:val="left"/>
      </w:pPr>
      <w:r>
        <w:t xml:space="preserve"> </w:t>
      </w:r>
    </w:p>
    <w:p w14:paraId="58B90108" w14:textId="77777777" w:rsidR="00A17F61" w:rsidRDefault="00000000">
      <w:pPr>
        <w:pStyle w:val="Heading1"/>
        <w:ind w:left="85"/>
      </w:pPr>
      <w:r>
        <w:t xml:space="preserve">Education </w:t>
      </w:r>
    </w:p>
    <w:p w14:paraId="4C6977C2" w14:textId="77777777" w:rsidR="00A17F61" w:rsidRDefault="00000000">
      <w:pPr>
        <w:spacing w:after="49" w:line="259" w:lineRule="auto"/>
        <w:ind w:left="6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F882164" wp14:editId="4475AA08">
                <wp:extent cx="6441441" cy="6350"/>
                <wp:effectExtent l="0" t="0" r="0" b="0"/>
                <wp:docPr id="1732" name="Group 1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1441" cy="6350"/>
                          <a:chOff x="0" y="0"/>
                          <a:chExt cx="6441441" cy="6350"/>
                        </a:xfrm>
                      </wpg:grpSpPr>
                      <wps:wsp>
                        <wps:cNvPr id="2286" name="Shape 2286"/>
                        <wps:cNvSpPr/>
                        <wps:spPr>
                          <a:xfrm>
                            <a:off x="0" y="0"/>
                            <a:ext cx="6441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41" h="9144">
                                <a:moveTo>
                                  <a:pt x="0" y="0"/>
                                </a:moveTo>
                                <a:lnTo>
                                  <a:pt x="6441441" y="0"/>
                                </a:lnTo>
                                <a:lnTo>
                                  <a:pt x="6441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2" style="width:507.2pt;height:0.5pt;mso-position-horizontal-relative:char;mso-position-vertical-relative:line" coordsize="64414,63">
                <v:shape id="Shape 2287" style="position:absolute;width:64414;height:91;left:0;top:0;" coordsize="6441441,9144" path="m0,0l6441441,0l6441441,9144l0,9144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</w:p>
    <w:p w14:paraId="05241DE1" w14:textId="77777777" w:rsidR="00A17F61" w:rsidRDefault="00000000">
      <w:pPr>
        <w:spacing w:after="116" w:line="259" w:lineRule="auto"/>
        <w:ind w:left="180" w:right="0" w:firstLine="0"/>
        <w:jc w:val="left"/>
      </w:pPr>
      <w:r>
        <w:rPr>
          <w:rFonts w:ascii="Calibri" w:eastAsia="Calibri" w:hAnsi="Calibri" w:cs="Calibri"/>
          <w:b/>
          <w:sz w:val="24"/>
        </w:rPr>
        <w:t xml:space="preserve">      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1"/>
        </w:rPr>
        <w:t xml:space="preserve"> </w:t>
      </w:r>
    </w:p>
    <w:p w14:paraId="559AF064" w14:textId="77777777" w:rsidR="00A17F61" w:rsidRDefault="00000000">
      <w:pPr>
        <w:spacing w:after="0" w:line="259" w:lineRule="auto"/>
        <w:ind w:left="180" w:right="0" w:firstLine="0"/>
        <w:jc w:val="left"/>
      </w:pPr>
      <w:r>
        <w:rPr>
          <w:b/>
          <w:sz w:val="24"/>
        </w:rPr>
        <w:t xml:space="preserve">Bachelor of Commerce(Honors) </w:t>
      </w:r>
    </w:p>
    <w:p w14:paraId="34051A40" w14:textId="77777777" w:rsidR="00A17F61" w:rsidRDefault="00000000">
      <w:pPr>
        <w:spacing w:after="219"/>
        <w:ind w:left="180" w:right="939" w:firstLine="0"/>
      </w:pPr>
      <w:r>
        <w:t>Aligarh Muslim University(2018-2021)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14:paraId="42CCCEA2" w14:textId="77777777" w:rsidR="00A17F61" w:rsidRDefault="00000000">
      <w:pPr>
        <w:spacing w:after="0" w:line="259" w:lineRule="auto"/>
        <w:ind w:left="180" w:right="0" w:firstLine="0"/>
        <w:jc w:val="left"/>
      </w:pPr>
      <w:r>
        <w:rPr>
          <w:rFonts w:ascii="Calibri" w:eastAsia="Calibri" w:hAnsi="Calibri" w:cs="Calibri"/>
          <w:color w:val="2E74B5"/>
          <w:sz w:val="36"/>
        </w:rPr>
        <w:t xml:space="preserve"> </w:t>
      </w:r>
    </w:p>
    <w:p w14:paraId="461FFE55" w14:textId="77777777" w:rsidR="00A17F61" w:rsidRDefault="00000000">
      <w:pPr>
        <w:spacing w:after="0" w:line="259" w:lineRule="auto"/>
        <w:ind w:left="180" w:right="0" w:firstLine="0"/>
        <w:jc w:val="left"/>
      </w:pPr>
      <w:r>
        <w:rPr>
          <w:rFonts w:ascii="Calibri" w:eastAsia="Calibri" w:hAnsi="Calibri" w:cs="Calibri"/>
          <w:color w:val="2E74B5"/>
          <w:sz w:val="36"/>
        </w:rPr>
        <w:t xml:space="preserve"> </w:t>
      </w:r>
    </w:p>
    <w:p w14:paraId="546CE8C8" w14:textId="77777777" w:rsidR="00A17F61" w:rsidRDefault="00000000">
      <w:pPr>
        <w:spacing w:after="0" w:line="259" w:lineRule="auto"/>
        <w:ind w:left="180" w:right="0" w:firstLine="0"/>
        <w:jc w:val="left"/>
      </w:pPr>
      <w:r>
        <w:rPr>
          <w:rFonts w:ascii="Calibri" w:eastAsia="Calibri" w:hAnsi="Calibri" w:cs="Calibri"/>
          <w:color w:val="2E74B5"/>
          <w:sz w:val="36"/>
        </w:rPr>
        <w:t xml:space="preserve"> </w:t>
      </w:r>
    </w:p>
    <w:p w14:paraId="712B1BB1" w14:textId="77777777" w:rsidR="00A17F61" w:rsidRDefault="00000000">
      <w:pPr>
        <w:pStyle w:val="Heading1"/>
        <w:ind w:left="190"/>
      </w:pPr>
      <w:r>
        <w:t xml:space="preserve">Disclaimer </w:t>
      </w:r>
    </w:p>
    <w:p w14:paraId="1DD249BE" w14:textId="77777777" w:rsidR="00A17F61" w:rsidRDefault="00000000">
      <w:pPr>
        <w:spacing w:after="40" w:line="259" w:lineRule="auto"/>
        <w:ind w:left="18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08D14A" wp14:editId="7A5202A9">
                <wp:extent cx="6343016" cy="6350"/>
                <wp:effectExtent l="0" t="0" r="0" b="0"/>
                <wp:docPr id="1733" name="Group 1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016" cy="6350"/>
                          <a:chOff x="0" y="0"/>
                          <a:chExt cx="6343016" cy="6350"/>
                        </a:xfrm>
                      </wpg:grpSpPr>
                      <wps:wsp>
                        <wps:cNvPr id="2288" name="Shape 2288"/>
                        <wps:cNvSpPr/>
                        <wps:spPr>
                          <a:xfrm>
                            <a:off x="0" y="0"/>
                            <a:ext cx="63430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3016" h="9144">
                                <a:moveTo>
                                  <a:pt x="0" y="0"/>
                                </a:moveTo>
                                <a:lnTo>
                                  <a:pt x="6343016" y="0"/>
                                </a:lnTo>
                                <a:lnTo>
                                  <a:pt x="63430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3" style="width:499.45pt;height:0.5pt;mso-position-horizontal-relative:char;mso-position-vertical-relative:line" coordsize="63430,63">
                <v:shape id="Shape 2289" style="position:absolute;width:63430;height:91;left:0;top:0;" coordsize="6343016,9144" path="m0,0l6343016,0l6343016,9144l0,9144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</w:p>
    <w:p w14:paraId="2763BBFE" w14:textId="77777777" w:rsidR="00A17F61" w:rsidRDefault="00000000">
      <w:pPr>
        <w:ind w:left="190" w:right="939" w:hanging="10"/>
      </w:pPr>
      <w:r>
        <w:t xml:space="preserve">I hereby declare that all the information contained in this resume is in accordance with facts or truths to my knowledge. I take full responsibility for the correctness of the said information. </w:t>
      </w:r>
    </w:p>
    <w:p w14:paraId="382FBB11" w14:textId="77777777" w:rsidR="00A17F61" w:rsidRDefault="00000000">
      <w:pPr>
        <w:spacing w:after="128" w:line="259" w:lineRule="auto"/>
        <w:ind w:left="180" w:right="0" w:firstLine="0"/>
        <w:jc w:val="left"/>
      </w:pPr>
      <w:r>
        <w:rPr>
          <w:rFonts w:ascii="Calibri" w:eastAsia="Calibri" w:hAnsi="Calibri" w:cs="Calibri"/>
          <w:sz w:val="21"/>
        </w:rPr>
        <w:t xml:space="preserve"> </w:t>
      </w:r>
    </w:p>
    <w:p w14:paraId="1A285312" w14:textId="77777777" w:rsidR="00A17F61" w:rsidRDefault="00000000">
      <w:pPr>
        <w:spacing w:after="0" w:line="259" w:lineRule="auto"/>
        <w:ind w:left="180" w:right="0" w:firstLine="0"/>
        <w:jc w:val="left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18078F7D" w14:textId="77777777" w:rsidR="00A17F61" w:rsidRDefault="00000000">
      <w:pPr>
        <w:spacing w:after="98" w:line="259" w:lineRule="auto"/>
        <w:ind w:left="0" w:right="835" w:firstLine="0"/>
        <w:jc w:val="right"/>
      </w:pPr>
      <w:r>
        <w:rPr>
          <w:rFonts w:ascii="Calibri" w:eastAsia="Calibri" w:hAnsi="Calibri" w:cs="Calibri"/>
          <w:sz w:val="21"/>
        </w:rPr>
        <w:t xml:space="preserve"> </w:t>
      </w:r>
    </w:p>
    <w:p w14:paraId="0DCDCC6B" w14:textId="78803B9D" w:rsidR="00612658" w:rsidRPr="00612658" w:rsidRDefault="00612658" w:rsidP="00612658">
      <w:pPr>
        <w:spacing w:after="103" w:line="259" w:lineRule="auto"/>
        <w:ind w:left="90" w:right="0" w:firstLine="0"/>
        <w:jc w:val="left"/>
      </w:pPr>
    </w:p>
    <w:p w14:paraId="35FC3977" w14:textId="2CF2BF5E" w:rsidR="00612658" w:rsidRPr="00612658" w:rsidRDefault="00612658" w:rsidP="00612658"/>
    <w:p w14:paraId="232A59C4" w14:textId="77777777" w:rsidR="00612658" w:rsidRPr="00612658" w:rsidRDefault="00612658" w:rsidP="00612658"/>
    <w:p w14:paraId="00A87D86" w14:textId="77777777" w:rsidR="00612658" w:rsidRPr="00612658" w:rsidRDefault="00612658" w:rsidP="00612658"/>
    <w:p w14:paraId="7DB7AECA" w14:textId="77777777" w:rsidR="00612658" w:rsidRPr="00612658" w:rsidRDefault="00612658" w:rsidP="00612658"/>
    <w:p w14:paraId="082EA22C" w14:textId="77777777" w:rsidR="00612658" w:rsidRPr="00612658" w:rsidRDefault="00612658" w:rsidP="00612658"/>
    <w:p w14:paraId="06BC0E91" w14:textId="77777777" w:rsidR="00612658" w:rsidRPr="00612658" w:rsidRDefault="00612658" w:rsidP="00612658"/>
    <w:p w14:paraId="27DF693A" w14:textId="77777777" w:rsidR="00612658" w:rsidRPr="00612658" w:rsidRDefault="00612658" w:rsidP="00612658"/>
    <w:p w14:paraId="36DB3871" w14:textId="77777777" w:rsidR="00612658" w:rsidRPr="00612658" w:rsidRDefault="00612658" w:rsidP="00612658"/>
    <w:p w14:paraId="140212AD" w14:textId="77777777" w:rsidR="00612658" w:rsidRPr="00612658" w:rsidRDefault="00612658" w:rsidP="00612658"/>
    <w:p w14:paraId="5DC8CF76" w14:textId="77777777" w:rsidR="00612658" w:rsidRPr="00612658" w:rsidRDefault="00612658" w:rsidP="00612658"/>
    <w:p w14:paraId="55B2B4F9" w14:textId="77777777" w:rsidR="00612658" w:rsidRPr="00612658" w:rsidRDefault="00612658" w:rsidP="00612658"/>
    <w:p w14:paraId="722B5201" w14:textId="77777777" w:rsidR="00612658" w:rsidRPr="00612658" w:rsidRDefault="00612658" w:rsidP="00612658"/>
    <w:p w14:paraId="2DA8189E" w14:textId="77777777" w:rsidR="00612658" w:rsidRPr="00612658" w:rsidRDefault="00612658" w:rsidP="00612658"/>
    <w:p w14:paraId="3BB96B20" w14:textId="77777777" w:rsidR="00612658" w:rsidRPr="00612658" w:rsidRDefault="00612658" w:rsidP="00612658"/>
    <w:p w14:paraId="29410171" w14:textId="77777777" w:rsidR="00612658" w:rsidRPr="00612658" w:rsidRDefault="00612658" w:rsidP="00612658"/>
    <w:p w14:paraId="01776D81" w14:textId="77777777" w:rsidR="00612658" w:rsidRPr="00612658" w:rsidRDefault="00612658" w:rsidP="00612658"/>
    <w:p w14:paraId="5C19190E" w14:textId="77777777" w:rsidR="00612658" w:rsidRDefault="00612658" w:rsidP="00612658">
      <w:pPr>
        <w:rPr>
          <w:rFonts w:ascii="Calibri" w:eastAsia="Calibri" w:hAnsi="Calibri" w:cs="Calibri"/>
          <w:b/>
          <w:color w:val="1F4E79"/>
          <w:sz w:val="21"/>
        </w:rPr>
      </w:pPr>
    </w:p>
    <w:p w14:paraId="254F454C" w14:textId="77777777" w:rsidR="00612658" w:rsidRPr="00612658" w:rsidRDefault="00612658" w:rsidP="00612658"/>
    <w:p w14:paraId="56B59422" w14:textId="77777777" w:rsidR="00612658" w:rsidRDefault="00612658" w:rsidP="00612658">
      <w:pPr>
        <w:rPr>
          <w:rFonts w:ascii="Calibri" w:eastAsia="Calibri" w:hAnsi="Calibri" w:cs="Calibri"/>
          <w:b/>
          <w:color w:val="1F4E79"/>
          <w:sz w:val="21"/>
        </w:rPr>
      </w:pPr>
    </w:p>
    <w:p w14:paraId="287A1190" w14:textId="24A9A2BE" w:rsidR="00612658" w:rsidRPr="00612658" w:rsidRDefault="00612658" w:rsidP="00612658">
      <w:pPr>
        <w:tabs>
          <w:tab w:val="left" w:pos="5604"/>
        </w:tabs>
      </w:pPr>
      <w:r>
        <w:tab/>
      </w:r>
      <w:r>
        <w:tab/>
      </w:r>
    </w:p>
    <w:sectPr w:rsidR="00612658" w:rsidRPr="00612658">
      <w:pgSz w:w="12240" w:h="15840"/>
      <w:pgMar w:top="1121" w:right="193" w:bottom="834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370F"/>
    <w:multiLevelType w:val="hybridMultilevel"/>
    <w:tmpl w:val="04E045F6"/>
    <w:lvl w:ilvl="0" w:tplc="7CD45AB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625340">
      <w:start w:val="1"/>
      <w:numFmt w:val="bullet"/>
      <w:lvlText w:val="o"/>
      <w:lvlJc w:val="left"/>
      <w:pPr>
        <w:ind w:left="1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F815DC">
      <w:start w:val="1"/>
      <w:numFmt w:val="bullet"/>
      <w:lvlText w:val="▪"/>
      <w:lvlJc w:val="left"/>
      <w:pPr>
        <w:ind w:left="2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FA6928">
      <w:start w:val="1"/>
      <w:numFmt w:val="bullet"/>
      <w:lvlText w:val="•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42EFD4">
      <w:start w:val="1"/>
      <w:numFmt w:val="bullet"/>
      <w:lvlText w:val="o"/>
      <w:lvlJc w:val="left"/>
      <w:pPr>
        <w:ind w:left="3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AEA19A">
      <w:start w:val="1"/>
      <w:numFmt w:val="bullet"/>
      <w:lvlText w:val="▪"/>
      <w:lvlJc w:val="left"/>
      <w:pPr>
        <w:ind w:left="4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560A1C">
      <w:start w:val="1"/>
      <w:numFmt w:val="bullet"/>
      <w:lvlText w:val="•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F8F00A">
      <w:start w:val="1"/>
      <w:numFmt w:val="bullet"/>
      <w:lvlText w:val="o"/>
      <w:lvlJc w:val="left"/>
      <w:pPr>
        <w:ind w:left="5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0E5D88">
      <w:start w:val="1"/>
      <w:numFmt w:val="bullet"/>
      <w:lvlText w:val="▪"/>
      <w:lvlJc w:val="left"/>
      <w:pPr>
        <w:ind w:left="6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F8736A"/>
    <w:multiLevelType w:val="hybridMultilevel"/>
    <w:tmpl w:val="ED602FDA"/>
    <w:lvl w:ilvl="0" w:tplc="075C9020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E8175A">
      <w:start w:val="1"/>
      <w:numFmt w:val="bullet"/>
      <w:lvlText w:val="o"/>
      <w:lvlJc w:val="left"/>
      <w:pPr>
        <w:ind w:left="1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80777A">
      <w:start w:val="1"/>
      <w:numFmt w:val="bullet"/>
      <w:lvlText w:val="▪"/>
      <w:lvlJc w:val="left"/>
      <w:pPr>
        <w:ind w:left="2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60CC02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7683CA">
      <w:start w:val="1"/>
      <w:numFmt w:val="bullet"/>
      <w:lvlText w:val="o"/>
      <w:lvlJc w:val="left"/>
      <w:pPr>
        <w:ind w:left="3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EC18E2">
      <w:start w:val="1"/>
      <w:numFmt w:val="bullet"/>
      <w:lvlText w:val="▪"/>
      <w:lvlJc w:val="left"/>
      <w:pPr>
        <w:ind w:left="4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1C7BBC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D4DACA">
      <w:start w:val="1"/>
      <w:numFmt w:val="bullet"/>
      <w:lvlText w:val="o"/>
      <w:lvlJc w:val="left"/>
      <w:pPr>
        <w:ind w:left="5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5284F8">
      <w:start w:val="1"/>
      <w:numFmt w:val="bullet"/>
      <w:lvlText w:val="▪"/>
      <w:lvlJc w:val="left"/>
      <w:pPr>
        <w:ind w:left="6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1338512">
    <w:abstractNumId w:val="1"/>
  </w:num>
  <w:num w:numId="2" w16cid:durableId="164654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F61"/>
    <w:rsid w:val="0001214A"/>
    <w:rsid w:val="004B4233"/>
    <w:rsid w:val="00612658"/>
    <w:rsid w:val="00A1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4EC8B"/>
  <w15:docId w15:val="{F9BE931E-C8A9-4061-88E5-45CCE4F9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8" w:line="251" w:lineRule="auto"/>
      <w:ind w:left="460" w:right="947" w:hanging="370"/>
      <w:jc w:val="both"/>
    </w:pPr>
    <w:rPr>
      <w:rFonts w:ascii="Century Gothic" w:eastAsia="Century Gothic" w:hAnsi="Century Gothic" w:cs="Century Gothic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0" w:hanging="10"/>
      <w:outlineLvl w:val="0"/>
    </w:pPr>
    <w:rPr>
      <w:rFonts w:ascii="Calibri" w:eastAsia="Calibri" w:hAnsi="Calibri" w:cs="Calibri"/>
      <w:color w:val="2E74B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2E74B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utkarsh dogra</dc:creator>
  <cp:keywords/>
  <cp:lastModifiedBy>vineet negi</cp:lastModifiedBy>
  <cp:revision>3</cp:revision>
  <dcterms:created xsi:type="dcterms:W3CDTF">2025-12-08T06:09:00Z</dcterms:created>
  <dcterms:modified xsi:type="dcterms:W3CDTF">2025-12-08T06:14:00Z</dcterms:modified>
</cp:coreProperties>
</file>