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1"/>
        <w:tblpPr w:leftFromText="180" w:rightFromText="180" w:horzAnchor="margin" w:tblpX="-304" w:tblpY="-396"/>
        <w:tblW w:w="11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06"/>
        <w:gridCol w:w="3566"/>
        <w:gridCol w:w="4560"/>
        <w:gridCol w:w="646"/>
        <w:gridCol w:w="935"/>
      </w:tblGrid>
      <w:tr w:rsidR="008F5681" w:rsidRPr="00BD3EA9" w14:paraId="386D9A93" w14:textId="77777777" w:rsidTr="00705D65">
        <w:trPr>
          <w:cantSplit/>
          <w:trHeight w:val="1080"/>
        </w:trPr>
        <w:tc>
          <w:tcPr>
            <w:tcW w:w="9532" w:type="dxa"/>
            <w:gridSpan w:val="3"/>
            <w:tcBorders>
              <w:bottom w:val="single" w:sz="18" w:space="0" w:color="1E4173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288FF40" w14:textId="536EABA6" w:rsidR="00BD3EA9" w:rsidRPr="00780276" w:rsidRDefault="00BE3090" w:rsidP="00705D65">
            <w:pPr>
              <w:rPr>
                <w:rFonts w:ascii="Poppins" w:eastAsia="Poppins" w:hAnsi="Poppins" w:cs="Poppins"/>
                <w:b/>
                <w:sz w:val="36"/>
                <w:szCs w:val="36"/>
              </w:rPr>
            </w:pPr>
            <w:r>
              <w:rPr>
                <w:rFonts w:ascii="Inter" w:eastAsia="Inter" w:hAnsi="Inter" w:cs="Inter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216E485" wp14:editId="341E7D8B">
                  <wp:simplePos x="0" y="0"/>
                  <wp:positionH relativeFrom="column">
                    <wp:posOffset>5158740</wp:posOffset>
                  </wp:positionH>
                  <wp:positionV relativeFrom="paragraph">
                    <wp:posOffset>179070</wp:posOffset>
                  </wp:positionV>
                  <wp:extent cx="594360" cy="59436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30122199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2199" name="Picture 1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EA9" w:rsidRPr="00780276">
              <w:rPr>
                <w:rFonts w:ascii="Poppins" w:eastAsia="Poppins" w:hAnsi="Poppins" w:cs="Poppins"/>
                <w:b/>
                <w:sz w:val="36"/>
                <w:szCs w:val="36"/>
              </w:rPr>
              <w:t>Urvashi Kumari</w:t>
            </w:r>
          </w:p>
          <w:p w14:paraId="66B4C123" w14:textId="289846A1" w:rsidR="00A34BF5" w:rsidRPr="008E5F47" w:rsidRDefault="00A34BF5" w:rsidP="00705D65">
            <w:pPr>
              <w:rPr>
                <w:rFonts w:ascii="Lato" w:eastAsia="Inter" w:hAnsi="Lato" w:cs="Inter"/>
              </w:rPr>
            </w:pPr>
            <w:r w:rsidRPr="00A20A69">
              <w:rPr>
                <w:rFonts w:ascii="Lato" w:eastAsia="Inter" w:hAnsi="Lato" w:cs="Inter"/>
              </w:rPr>
              <w:t xml:space="preserve">Email: </w:t>
            </w:r>
            <w:hyperlink r:id="rId7" w:history="1">
              <w:r w:rsidR="00134653" w:rsidRPr="00134653">
                <w:rPr>
                  <w:rStyle w:val="Hyperlink"/>
                  <w:rFonts w:ascii="Lato" w:eastAsia="Inter" w:hAnsi="Lato" w:cs="Inter"/>
                </w:rPr>
                <w:t>26-urvashi.kumari@fiib.edu.in</w:t>
              </w:r>
            </w:hyperlink>
            <w:r w:rsidRPr="00A20A69">
              <w:rPr>
                <w:rFonts w:ascii="Lato" w:eastAsia="Inter" w:hAnsi="Lato" w:cs="Inter"/>
              </w:rPr>
              <w:t>| Contact: +91 7765069557 |</w:t>
            </w:r>
            <w:r w:rsidRPr="00BD3EA9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581" w:type="dxa"/>
            <w:gridSpan w:val="2"/>
            <w:tcBorders>
              <w:bottom w:val="single" w:sz="36" w:space="0" w:color="FDB51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47E9" w14:textId="7F095C7C" w:rsidR="008F5681" w:rsidRPr="00BD3EA9" w:rsidRDefault="00833181" w:rsidP="00705D65">
            <w:pPr>
              <w:widowControl w:val="0"/>
              <w:spacing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3EA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52DFC88" wp14:editId="427175B1">
                  <wp:simplePos x="0" y="0"/>
                  <wp:positionH relativeFrom="column">
                    <wp:posOffset>-34001</wp:posOffset>
                  </wp:positionH>
                  <wp:positionV relativeFrom="paragraph">
                    <wp:posOffset>258849</wp:posOffset>
                  </wp:positionV>
                  <wp:extent cx="929005" cy="421299"/>
                  <wp:effectExtent l="0" t="0" r="4445" b="0"/>
                  <wp:wrapTight wrapText="bothSides">
                    <wp:wrapPolygon edited="0">
                      <wp:start x="886" y="0"/>
                      <wp:lineTo x="0" y="2932"/>
                      <wp:lineTo x="0" y="20525"/>
                      <wp:lineTo x="21260" y="20525"/>
                      <wp:lineTo x="21260" y="0"/>
                      <wp:lineTo x="886" y="0"/>
                    </wp:wrapPolygon>
                  </wp:wrapTight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4212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5681" w:rsidRPr="00BD3EA9" w14:paraId="6D8F88F4" w14:textId="77777777" w:rsidTr="00705D65">
        <w:trPr>
          <w:trHeight w:val="475"/>
        </w:trPr>
        <w:tc>
          <w:tcPr>
            <w:tcW w:w="11113" w:type="dxa"/>
            <w:gridSpan w:val="5"/>
            <w:tcBorders>
              <w:top w:val="single" w:sz="18" w:space="0" w:color="1E4173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FCFC694" w14:textId="7A3FE04A" w:rsidR="008F5681" w:rsidRPr="00780276" w:rsidRDefault="008F5681" w:rsidP="00705D6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 w:rsidRPr="00780276">
              <w:rPr>
                <w:rFonts w:ascii="Poppins" w:eastAsia="Poppins" w:hAnsi="Poppins" w:cs="Poppins"/>
                <w:b/>
              </w:rPr>
              <w:t>CAREER SUMMARY</w:t>
            </w:r>
          </w:p>
          <w:p w14:paraId="68FDD98B" w14:textId="3204C30C" w:rsidR="00D55F4C" w:rsidRPr="007C7BCA" w:rsidRDefault="00DA57C8" w:rsidP="00705D65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A57C8">
              <w:rPr>
                <w:rFonts w:ascii="Lato" w:hAnsi="Lato"/>
                <w:sz w:val="16"/>
                <w:szCs w:val="16"/>
              </w:rPr>
              <w:t xml:space="preserve">Postgraduate Finance candidate </w:t>
            </w:r>
            <w:r>
              <w:rPr>
                <w:rFonts w:ascii="Lato" w:hAnsi="Lato"/>
                <w:sz w:val="16"/>
                <w:szCs w:val="16"/>
              </w:rPr>
              <w:t xml:space="preserve">with </w:t>
            </w:r>
            <w:r w:rsidRPr="00DA57C8">
              <w:rPr>
                <w:rFonts w:ascii="Lato" w:hAnsi="Lato"/>
                <w:sz w:val="16"/>
                <w:szCs w:val="16"/>
              </w:rPr>
              <w:t>analytical skills and a</w:t>
            </w:r>
            <w:r>
              <w:rPr>
                <w:rFonts w:ascii="Lato" w:hAnsi="Lato"/>
                <w:sz w:val="16"/>
                <w:szCs w:val="16"/>
              </w:rPr>
              <w:t>n</w:t>
            </w:r>
            <w:r w:rsidRPr="00DA57C8">
              <w:rPr>
                <w:rFonts w:ascii="Lato" w:hAnsi="Lato"/>
                <w:sz w:val="16"/>
                <w:szCs w:val="16"/>
              </w:rPr>
              <w:t xml:space="preserve"> understanding of valuation, financial assessment, and market analysis. Looking forward to applying these strengths to support the company by interpreting data effectively, contributing clear insights, and adding value through well-structured reports and decision-focused analysis.</w:t>
            </w:r>
          </w:p>
        </w:tc>
      </w:tr>
      <w:tr w:rsidR="008F5681" w:rsidRPr="00BD3EA9" w14:paraId="49442F46" w14:textId="77777777" w:rsidTr="00705D65">
        <w:trPr>
          <w:trHeight w:val="475"/>
        </w:trPr>
        <w:tc>
          <w:tcPr>
            <w:tcW w:w="11113" w:type="dxa"/>
            <w:gridSpan w:val="5"/>
            <w:tcBorders>
              <w:top w:val="single" w:sz="6" w:space="0" w:color="434343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3685E237" w14:textId="1B71369E" w:rsidR="008F5681" w:rsidRPr="00BD3EA9" w:rsidRDefault="008F5681" w:rsidP="00705D65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80276">
              <w:rPr>
                <w:rFonts w:ascii="Poppins" w:eastAsia="Poppins" w:hAnsi="Poppins" w:cs="Poppins"/>
                <w:b/>
              </w:rPr>
              <w:t>EDUCATION</w:t>
            </w:r>
          </w:p>
        </w:tc>
      </w:tr>
      <w:tr w:rsidR="008F5681" w:rsidRPr="00BD3EA9" w14:paraId="573B6999" w14:textId="77777777" w:rsidTr="00705D65">
        <w:trPr>
          <w:trHeight w:val="206"/>
        </w:trPr>
        <w:tc>
          <w:tcPr>
            <w:tcW w:w="1406" w:type="dxa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7D65B5B" w14:textId="1294CE43" w:rsidR="008F5681" w:rsidRPr="00780276" w:rsidRDefault="008F5681" w:rsidP="00705D65">
            <w:pPr>
              <w:widowControl w:val="0"/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2024 </w:t>
            </w:r>
            <w:r w:rsidR="00FC63A3" w:rsidRPr="00780276">
              <w:rPr>
                <w:rFonts w:ascii="Lato" w:eastAsia="Lato" w:hAnsi="Lato" w:cs="Lato"/>
                <w:sz w:val="16"/>
                <w:szCs w:val="16"/>
              </w:rPr>
              <w:t>–</w:t>
            </w: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 2026</w:t>
            </w:r>
          </w:p>
        </w:tc>
        <w:tc>
          <w:tcPr>
            <w:tcW w:w="3566" w:type="dxa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57BA479" w14:textId="77777777" w:rsidR="008F5681" w:rsidRPr="00780276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Post-Graduate Diploma in Management (Finance) </w:t>
            </w:r>
          </w:p>
        </w:tc>
        <w:tc>
          <w:tcPr>
            <w:tcW w:w="5206" w:type="dxa"/>
            <w:gridSpan w:val="2"/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3619DD0" w14:textId="2905EEA9" w:rsidR="008F5681" w:rsidRPr="00780276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    Fortune Institute of International Business (FIIB)</w:t>
            </w:r>
            <w:r w:rsidR="00A346EB" w:rsidRPr="00780276">
              <w:rPr>
                <w:rFonts w:ascii="Lato" w:eastAsia="Lato" w:hAnsi="Lato" w:cs="Lato"/>
                <w:sz w:val="16"/>
                <w:szCs w:val="16"/>
              </w:rPr>
              <w:t xml:space="preserve"> (2024-2026)</w:t>
            </w:r>
          </w:p>
        </w:tc>
        <w:tc>
          <w:tcPr>
            <w:tcW w:w="935" w:type="dxa"/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52EFDE99" w14:textId="77777777" w:rsidR="008F5681" w:rsidRPr="00BD3EA9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5681" w:rsidRPr="00BD3EA9" w14:paraId="22C71DA2" w14:textId="77777777" w:rsidTr="00705D65">
        <w:trPr>
          <w:trHeight w:val="53"/>
        </w:trPr>
        <w:tc>
          <w:tcPr>
            <w:tcW w:w="1406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1D4F0081" w14:textId="4BFCB94E" w:rsidR="008F5681" w:rsidRPr="00780276" w:rsidRDefault="008F5681" w:rsidP="00705D65">
            <w:pPr>
              <w:widowControl w:val="0"/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2021 </w:t>
            </w:r>
            <w:r w:rsidR="00A72885" w:rsidRPr="00780276">
              <w:rPr>
                <w:rFonts w:ascii="Lato" w:eastAsia="Lato" w:hAnsi="Lato" w:cs="Lato"/>
                <w:sz w:val="16"/>
                <w:szCs w:val="16"/>
              </w:rPr>
              <w:t>–</w:t>
            </w: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 2024</w:t>
            </w:r>
          </w:p>
        </w:tc>
        <w:tc>
          <w:tcPr>
            <w:tcW w:w="3566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AD31A3E" w14:textId="06E83DD2" w:rsidR="008F5681" w:rsidRPr="00780276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>Bachelor of Commerce</w:t>
            </w:r>
            <w:r w:rsidR="00A346EB" w:rsidRPr="00780276">
              <w:rPr>
                <w:rFonts w:ascii="Lato" w:eastAsia="Lato" w:hAnsi="Lato" w:cs="Lato"/>
                <w:sz w:val="16"/>
                <w:szCs w:val="16"/>
              </w:rPr>
              <w:t xml:space="preserve"> (Accounts Hons.)</w:t>
            </w:r>
          </w:p>
        </w:tc>
        <w:tc>
          <w:tcPr>
            <w:tcW w:w="5206" w:type="dxa"/>
            <w:gridSpan w:val="2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FA2C45F" w14:textId="2BF90D05" w:rsidR="00A346EB" w:rsidRPr="00780276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780276">
              <w:rPr>
                <w:rFonts w:ascii="Lato" w:eastAsia="Lato" w:hAnsi="Lato" w:cs="Lato"/>
                <w:sz w:val="16"/>
                <w:szCs w:val="16"/>
              </w:rPr>
              <w:t xml:space="preserve">    Ranchi </w:t>
            </w:r>
            <w:r w:rsidR="00A346EB" w:rsidRPr="00780276">
              <w:rPr>
                <w:rFonts w:ascii="Lato" w:eastAsia="Lato" w:hAnsi="Lato" w:cs="Lato"/>
                <w:sz w:val="16"/>
                <w:szCs w:val="16"/>
              </w:rPr>
              <w:t>University (2021-2024)</w:t>
            </w:r>
          </w:p>
        </w:tc>
        <w:tc>
          <w:tcPr>
            <w:tcW w:w="935" w:type="dxa"/>
            <w:tcBorders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center"/>
          </w:tcPr>
          <w:p w14:paraId="72543020" w14:textId="77777777" w:rsidR="008F5681" w:rsidRPr="00BD3EA9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5681" w:rsidRPr="00BD3EA9" w14:paraId="69C15863" w14:textId="77777777" w:rsidTr="00705D65">
        <w:trPr>
          <w:trHeight w:val="457"/>
        </w:trPr>
        <w:tc>
          <w:tcPr>
            <w:tcW w:w="11113" w:type="dxa"/>
            <w:gridSpan w:val="5"/>
            <w:tcBorders>
              <w:bottom w:val="single" w:sz="6" w:space="0" w:color="FFFFFF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bottom"/>
          </w:tcPr>
          <w:p w14:paraId="4BC899CE" w14:textId="77777777" w:rsidR="008F5681" w:rsidRPr="00BD3EA9" w:rsidRDefault="008F5681" w:rsidP="00705D65">
            <w:pPr>
              <w:widowControl w:val="0"/>
              <w:spacing w:line="240" w:lineRule="auto"/>
              <w:rPr>
                <w:rFonts w:asciiTheme="majorHAnsi" w:eastAsia="Lato" w:hAnsiTheme="majorHAnsi" w:cstheme="majorHAnsi"/>
                <w:sz w:val="24"/>
                <w:szCs w:val="24"/>
              </w:rPr>
            </w:pPr>
            <w:r w:rsidRPr="00780276">
              <w:rPr>
                <w:rFonts w:ascii="Poppins" w:eastAsia="Poppins" w:hAnsi="Poppins" w:cs="Poppins"/>
                <w:b/>
              </w:rPr>
              <w:t>CERTIFICATIONS</w:t>
            </w:r>
          </w:p>
        </w:tc>
      </w:tr>
      <w:tr w:rsidR="008F5681" w:rsidRPr="00BD3EA9" w14:paraId="2705879A" w14:textId="77777777" w:rsidTr="00705D65">
        <w:trPr>
          <w:trHeight w:val="1001"/>
        </w:trPr>
        <w:tc>
          <w:tcPr>
            <w:tcW w:w="11113" w:type="dxa"/>
            <w:gridSpan w:val="5"/>
            <w:tcBorders>
              <w:top w:val="single" w:sz="6" w:space="0" w:color="FFFFFF"/>
              <w:bottom w:val="single" w:sz="6" w:space="0" w:color="000000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0682703" w14:textId="77777777" w:rsidR="00134653" w:rsidRPr="008771E7" w:rsidRDefault="00134653" w:rsidP="00134653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ato" w:hAnsi="Lato"/>
                <w:sz w:val="16"/>
                <w:szCs w:val="16"/>
              </w:rPr>
            </w:pPr>
            <w:r w:rsidRPr="00CA7A1F">
              <w:rPr>
                <w:rFonts w:ascii="Lato" w:hAnsi="Lato"/>
                <w:sz w:val="16"/>
                <w:szCs w:val="16"/>
              </w:rPr>
              <w:t xml:space="preserve">Anti–Money Laundering (AML) Training – Tutorials Point </w:t>
            </w:r>
          </w:p>
          <w:p w14:paraId="73D712E0" w14:textId="7AE7C294" w:rsidR="00A346EB" w:rsidRPr="00780276" w:rsidRDefault="00A346EB" w:rsidP="00705D65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ato" w:hAnsi="Lato"/>
                <w:sz w:val="16"/>
                <w:szCs w:val="16"/>
              </w:rPr>
            </w:pPr>
            <w:r w:rsidRPr="00780276">
              <w:rPr>
                <w:rFonts w:ascii="Lato" w:hAnsi="Lato"/>
                <w:sz w:val="16"/>
                <w:szCs w:val="16"/>
              </w:rPr>
              <w:t>Certificate in Financial Modelling and Valuation – Grant Thornton</w:t>
            </w:r>
          </w:p>
          <w:p w14:paraId="0DC95961" w14:textId="61F91C81" w:rsidR="00A346EB" w:rsidRPr="00780276" w:rsidRDefault="00A346EB" w:rsidP="00705D65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ato" w:hAnsi="Lato"/>
                <w:sz w:val="16"/>
                <w:szCs w:val="16"/>
              </w:rPr>
            </w:pPr>
            <w:r w:rsidRPr="00780276">
              <w:rPr>
                <w:rFonts w:ascii="Lato" w:hAnsi="Lato"/>
                <w:sz w:val="16"/>
                <w:szCs w:val="16"/>
              </w:rPr>
              <w:t>Corporate Financial Statement Analysis – NASBA</w:t>
            </w:r>
          </w:p>
          <w:p w14:paraId="60DD7E59" w14:textId="5920DB66" w:rsidR="00A346EB" w:rsidRDefault="00A346EB" w:rsidP="00705D65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ato" w:hAnsi="Lato"/>
                <w:sz w:val="16"/>
                <w:szCs w:val="16"/>
              </w:rPr>
            </w:pPr>
            <w:r w:rsidRPr="00780276">
              <w:rPr>
                <w:rFonts w:ascii="Lato" w:hAnsi="Lato"/>
                <w:sz w:val="16"/>
                <w:szCs w:val="16"/>
              </w:rPr>
              <w:t>Using Time Value of Money for Financial Decisions</w:t>
            </w:r>
          </w:p>
          <w:p w14:paraId="0648843B" w14:textId="64AA78C3" w:rsidR="00CA7A1F" w:rsidRPr="000A381D" w:rsidRDefault="00CA7A1F" w:rsidP="00D439A9">
            <w:pPr>
              <w:pStyle w:val="ListParagraph"/>
              <w:widowControl w:val="0"/>
              <w:spacing w:line="240" w:lineRule="auto"/>
              <w:rPr>
                <w:rFonts w:ascii="Lato" w:hAnsi="Lato"/>
                <w:sz w:val="16"/>
                <w:szCs w:val="16"/>
              </w:rPr>
            </w:pPr>
          </w:p>
        </w:tc>
      </w:tr>
      <w:tr w:rsidR="008F5681" w:rsidRPr="00BD3EA9" w14:paraId="41F7D844" w14:textId="77777777" w:rsidTr="00705D65">
        <w:trPr>
          <w:trHeight w:val="1709"/>
        </w:trPr>
        <w:tc>
          <w:tcPr>
            <w:tcW w:w="11113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1A2FF351" w14:textId="62BFDC89" w:rsidR="008F5681" w:rsidRPr="00780276" w:rsidRDefault="008F5681" w:rsidP="00705D6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 w:rsidRPr="00780276">
              <w:rPr>
                <w:rFonts w:ascii="Poppins" w:eastAsia="Poppins" w:hAnsi="Poppins" w:cs="Poppins"/>
                <w:b/>
              </w:rPr>
              <w:t>INTERNSHIP &amp;</w:t>
            </w:r>
            <w:r w:rsidR="00780276">
              <w:rPr>
                <w:rFonts w:ascii="Poppins" w:eastAsia="Poppins" w:hAnsi="Poppins" w:cs="Poppins"/>
                <w:b/>
              </w:rPr>
              <w:t xml:space="preserve"> </w:t>
            </w:r>
            <w:r w:rsidRPr="00780276">
              <w:rPr>
                <w:rFonts w:ascii="Poppins" w:eastAsia="Poppins" w:hAnsi="Poppins" w:cs="Poppins"/>
                <w:b/>
              </w:rPr>
              <w:t>EXPERIENCE</w:t>
            </w:r>
          </w:p>
          <w:p w14:paraId="3C963222" w14:textId="71AEB2B7" w:rsidR="008F5681" w:rsidRPr="00652CC7" w:rsidRDefault="008F5681" w:rsidP="0070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 Medium" w:hAnsi="Poppins" w:cs="Poppins"/>
                <w:b/>
                <w:bCs/>
                <w:sz w:val="24"/>
                <w:szCs w:val="24"/>
              </w:rPr>
            </w:pPr>
            <w:r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 xml:space="preserve">Financial Strategy Assistant Intern |Enigma Holdings Pvt. </w:t>
            </w:r>
            <w:r w:rsidR="00FC1E84"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>Ltd.</w:t>
            </w:r>
            <w:r w:rsidR="003856F8"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 xml:space="preserve"> </w:t>
            </w:r>
            <w:r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>|</w:t>
            </w:r>
            <w:r w:rsidR="00D92C8A"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 xml:space="preserve"> 18th April, 2025 to 18th June, 2025</w:t>
            </w:r>
          </w:p>
          <w:p w14:paraId="4E4F7B32" w14:textId="1EB8830A" w:rsidR="008771E7" w:rsidRPr="008771E7" w:rsidRDefault="008771E7" w:rsidP="008771E7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</w:pPr>
            <w:r w:rsidRPr="008771E7"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  <w:t>Conducted structured financial and activity-based analysis to identify portfolio trends, irregular patterns, and potential risk indicators.</w:t>
            </w:r>
          </w:p>
          <w:p w14:paraId="688342D5" w14:textId="2204E774" w:rsidR="008771E7" w:rsidRPr="008771E7" w:rsidRDefault="008771E7" w:rsidP="008771E7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</w:pPr>
            <w:r w:rsidRPr="008771E7"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  <w:t>Analysed Bank Nifty constituents using fundamental and technical metrics to assess stability, credit exposure, and valuation risks.</w:t>
            </w:r>
          </w:p>
          <w:p w14:paraId="55C1291C" w14:textId="1E7724E5" w:rsidR="008771E7" w:rsidRPr="008771E7" w:rsidRDefault="008771E7" w:rsidP="008771E7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</w:pPr>
            <w:r w:rsidRPr="008771E7"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  <w:t>Prepared daily analytical summaries and clear decision-oriented reports for senior reviewers, ensuring accuracy and timely delivery.</w:t>
            </w:r>
          </w:p>
          <w:p w14:paraId="7DAA40A1" w14:textId="72ABCD7C" w:rsidR="008771E7" w:rsidRPr="008771E7" w:rsidRDefault="008771E7" w:rsidP="008771E7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</w:pPr>
            <w:r w:rsidRPr="008771E7"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  <w:t>Worked across multiple data sources and dashboards to track key performance metrics, improving data interpretation and anomaly detection.</w:t>
            </w:r>
          </w:p>
          <w:p w14:paraId="42834B98" w14:textId="077E6DE2" w:rsidR="00780276" w:rsidRPr="00D439A9" w:rsidRDefault="008771E7" w:rsidP="008771E7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</w:pPr>
            <w:r w:rsidRPr="008771E7">
              <w:rPr>
                <w:rFonts w:ascii="Lato" w:eastAsia="DM Sans" w:hAnsi="Lato" w:cstheme="majorHAnsi"/>
                <w:bCs/>
                <w:sz w:val="16"/>
                <w:szCs w:val="16"/>
                <w:lang w:val="en-IN"/>
              </w:rPr>
              <w:t>Built Excel and Power BI dashboards that enhanced visibility into early warning signals and strengthened compliance-focused monitoring processes.</w:t>
            </w:r>
          </w:p>
        </w:tc>
      </w:tr>
      <w:tr w:rsidR="008F5681" w:rsidRPr="00BD3EA9" w14:paraId="5E7109CC" w14:textId="77777777" w:rsidTr="00705D65">
        <w:trPr>
          <w:trHeight w:val="1273"/>
        </w:trPr>
        <w:tc>
          <w:tcPr>
            <w:tcW w:w="11113" w:type="dxa"/>
            <w:gridSpan w:val="5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B748706" w14:textId="77777777" w:rsidR="008F5681" w:rsidRPr="00780276" w:rsidRDefault="008F5681" w:rsidP="00705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</w:rPr>
            </w:pPr>
            <w:r w:rsidRPr="00780276">
              <w:rPr>
                <w:rFonts w:ascii="Poppins" w:eastAsia="Poppins" w:hAnsi="Poppins" w:cs="Poppins"/>
                <w:b/>
              </w:rPr>
              <w:t>VOLUNTEER WORK</w:t>
            </w:r>
          </w:p>
          <w:p w14:paraId="506CBECE" w14:textId="5D69E852" w:rsidR="008F5681" w:rsidRPr="00652CC7" w:rsidRDefault="008F5681" w:rsidP="00705D65">
            <w:pPr>
              <w:spacing w:line="240" w:lineRule="auto"/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</w:pPr>
            <w:r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>AICAPD| Delhi | January 202</w:t>
            </w:r>
            <w:r w:rsidR="00D92C8A" w:rsidRPr="00652CC7">
              <w:rPr>
                <w:rFonts w:ascii="Poppins" w:eastAsia="Poppins SemiBold" w:hAnsi="Poppins" w:cs="Poppins"/>
                <w:b/>
                <w:bCs/>
                <w:sz w:val="18"/>
                <w:szCs w:val="18"/>
              </w:rPr>
              <w:t>5</w:t>
            </w:r>
          </w:p>
          <w:p w14:paraId="2D1B3A5E" w14:textId="32408FAA" w:rsidR="009030B5" w:rsidRPr="002F759B" w:rsidRDefault="009030B5" w:rsidP="009030B5">
            <w:pPr>
              <w:pStyle w:val="ListParagraph"/>
              <w:widowControl w:val="0"/>
              <w:numPr>
                <w:ilvl w:val="0"/>
                <w:numId w:val="15"/>
              </w:numPr>
              <w:jc w:val="both"/>
              <w:rPr>
                <w:rFonts w:ascii="Lato" w:eastAsia="Lato" w:hAnsi="Lato"/>
                <w:sz w:val="16"/>
                <w:szCs w:val="16"/>
                <w:lang w:val="en-IN"/>
              </w:rPr>
            </w:pPr>
            <w:r w:rsidRPr="002F759B">
              <w:rPr>
                <w:rFonts w:ascii="Lato" w:eastAsia="Lato" w:hAnsi="Lato"/>
                <w:sz w:val="16"/>
                <w:szCs w:val="16"/>
                <w:lang w:val="en-IN"/>
              </w:rPr>
              <w:t>Led community education initiatives aligned with SDG 4, working with diverse groups to plan and deliver impactful learning sessions.</w:t>
            </w:r>
          </w:p>
          <w:p w14:paraId="280838A0" w14:textId="66C90D9E" w:rsidR="00780276" w:rsidRPr="009030B5" w:rsidRDefault="009030B5" w:rsidP="009030B5">
            <w:pPr>
              <w:pStyle w:val="ListParagraph"/>
              <w:widowControl w:val="0"/>
              <w:numPr>
                <w:ilvl w:val="0"/>
                <w:numId w:val="26"/>
              </w:numPr>
              <w:jc w:val="both"/>
              <w:rPr>
                <w:rFonts w:ascii="Lato" w:eastAsia="Lato" w:hAnsi="Lato"/>
                <w:sz w:val="16"/>
                <w:szCs w:val="16"/>
                <w:lang w:val="en-IN"/>
              </w:rPr>
            </w:pPr>
            <w:r w:rsidRPr="002F759B">
              <w:rPr>
                <w:rFonts w:ascii="Lato" w:eastAsia="Lato" w:hAnsi="Lato"/>
                <w:sz w:val="16"/>
                <w:szCs w:val="16"/>
                <w:lang w:val="en-IN"/>
              </w:rPr>
              <w:t>Strengthened adaptability, communication, and collaborative problem-solving, enhancing</w:t>
            </w:r>
            <w:r w:rsidRPr="009030B5">
              <w:rPr>
                <w:rFonts w:ascii="Lato" w:eastAsia="Lato" w:hAnsi="Lato"/>
                <w:sz w:val="16"/>
                <w:szCs w:val="16"/>
                <w:lang w:val="en-IN"/>
              </w:rPr>
              <w:t xml:space="preserve"> the ability to build and manage professional relationships.</w:t>
            </w:r>
          </w:p>
        </w:tc>
      </w:tr>
      <w:tr w:rsidR="008F5681" w:rsidRPr="00BD3EA9" w14:paraId="46F5BCEF" w14:textId="77777777" w:rsidTr="00705D65">
        <w:trPr>
          <w:trHeight w:val="490"/>
        </w:trPr>
        <w:tc>
          <w:tcPr>
            <w:tcW w:w="11113" w:type="dxa"/>
            <w:gridSpan w:val="5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191AF60" w14:textId="7A3081FF" w:rsidR="008F5681" w:rsidRPr="00780276" w:rsidRDefault="008F5681" w:rsidP="00705D6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 w:rsidRPr="00780276">
              <w:rPr>
                <w:rFonts w:ascii="Poppins" w:eastAsia="Poppins" w:hAnsi="Poppins" w:cs="Poppins"/>
                <w:b/>
              </w:rPr>
              <w:t>ACADEMIC PROJECTS</w:t>
            </w:r>
          </w:p>
          <w:p w14:paraId="1A95213C" w14:textId="17EC5034" w:rsidR="009030B5" w:rsidRDefault="009030B5" w:rsidP="009030B5">
            <w:pPr>
              <w:pStyle w:val="ListParagraph"/>
              <w:numPr>
                <w:ilvl w:val="0"/>
                <w:numId w:val="24"/>
              </w:numPr>
              <w:tabs>
                <w:tab w:val="center" w:pos="2292"/>
              </w:tabs>
              <w:spacing w:after="1" w:line="259" w:lineRule="auto"/>
              <w:jc w:val="both"/>
              <w:rPr>
                <w:rFonts w:ascii="Lato" w:hAnsi="Lato"/>
                <w:sz w:val="16"/>
                <w:szCs w:val="16"/>
                <w:lang w:val="en-IN"/>
              </w:rPr>
            </w:pPr>
            <w:r w:rsidRPr="009030B5">
              <w:rPr>
                <w:rFonts w:ascii="Lato" w:hAnsi="Lato"/>
                <w:sz w:val="16"/>
                <w:szCs w:val="16"/>
                <w:lang w:val="en-IN"/>
              </w:rPr>
              <w:t>Conducted multi-sector financial assessments using key metrics to support valuation-style analysis and feasibility insights.</w:t>
            </w:r>
          </w:p>
          <w:p w14:paraId="4740E96F" w14:textId="413AFC24" w:rsidR="004B2287" w:rsidRPr="009030B5" w:rsidRDefault="004B2287" w:rsidP="009030B5">
            <w:pPr>
              <w:pStyle w:val="ListParagraph"/>
              <w:numPr>
                <w:ilvl w:val="0"/>
                <w:numId w:val="24"/>
              </w:numPr>
              <w:tabs>
                <w:tab w:val="center" w:pos="2292"/>
              </w:tabs>
              <w:spacing w:after="1" w:line="259" w:lineRule="auto"/>
              <w:jc w:val="both"/>
              <w:rPr>
                <w:rFonts w:ascii="Lato" w:hAnsi="Lato"/>
                <w:sz w:val="16"/>
                <w:szCs w:val="16"/>
                <w:lang w:val="en-IN"/>
              </w:rPr>
            </w:pPr>
            <w:r w:rsidRPr="004B2287">
              <w:rPr>
                <w:rFonts w:ascii="Lato" w:hAnsi="Lato"/>
                <w:sz w:val="16"/>
                <w:szCs w:val="16"/>
              </w:rPr>
              <w:t>Conducted Beta and WACC analysis of leading IT firms to assess market risk, capital efficiency, and financial performance.</w:t>
            </w:r>
          </w:p>
          <w:p w14:paraId="6628C187" w14:textId="4C6CBF52" w:rsidR="009030B5" w:rsidRPr="009030B5" w:rsidRDefault="009030B5" w:rsidP="009030B5">
            <w:pPr>
              <w:pStyle w:val="ListParagraph"/>
              <w:numPr>
                <w:ilvl w:val="0"/>
                <w:numId w:val="24"/>
              </w:numPr>
              <w:tabs>
                <w:tab w:val="center" w:pos="2292"/>
              </w:tabs>
              <w:spacing w:after="1" w:line="259" w:lineRule="auto"/>
              <w:jc w:val="both"/>
              <w:rPr>
                <w:rFonts w:ascii="Lato" w:hAnsi="Lato"/>
                <w:sz w:val="16"/>
                <w:szCs w:val="16"/>
                <w:lang w:val="en-IN"/>
              </w:rPr>
            </w:pPr>
            <w:r w:rsidRPr="009030B5">
              <w:rPr>
                <w:rFonts w:ascii="Lato" w:hAnsi="Lato"/>
                <w:sz w:val="16"/>
                <w:szCs w:val="16"/>
                <w:lang w:val="en-IN"/>
              </w:rPr>
              <w:t>Evaluated business stability and long-term viability through liquidity, profitability, and efficiency indicators.</w:t>
            </w:r>
          </w:p>
          <w:p w14:paraId="449543DD" w14:textId="46DF918F" w:rsidR="009030B5" w:rsidRPr="009030B5" w:rsidRDefault="009030B5" w:rsidP="009030B5">
            <w:pPr>
              <w:pStyle w:val="ListParagraph"/>
              <w:numPr>
                <w:ilvl w:val="0"/>
                <w:numId w:val="24"/>
              </w:numPr>
              <w:tabs>
                <w:tab w:val="center" w:pos="2292"/>
              </w:tabs>
              <w:spacing w:after="1" w:line="259" w:lineRule="auto"/>
              <w:jc w:val="both"/>
              <w:rPr>
                <w:rFonts w:ascii="Lato" w:hAnsi="Lato"/>
                <w:sz w:val="16"/>
                <w:szCs w:val="16"/>
                <w:lang w:val="en-IN"/>
              </w:rPr>
            </w:pPr>
            <w:r w:rsidRPr="009030B5">
              <w:rPr>
                <w:rFonts w:ascii="Lato" w:hAnsi="Lato"/>
                <w:sz w:val="16"/>
                <w:szCs w:val="16"/>
                <w:lang w:val="en-IN"/>
              </w:rPr>
              <w:t>Prepared clear analytical summaries in Excel to compare market trends and risk factors for consulting-driven decision-making.</w:t>
            </w:r>
          </w:p>
          <w:p w14:paraId="0B25DF57" w14:textId="23E81C5F" w:rsidR="008F5681" w:rsidRPr="009030B5" w:rsidRDefault="008F5681" w:rsidP="009030B5">
            <w:pPr>
              <w:tabs>
                <w:tab w:val="center" w:pos="2292"/>
              </w:tabs>
              <w:spacing w:after="1" w:line="259" w:lineRule="auto"/>
              <w:jc w:val="both"/>
              <w:rPr>
                <w:rFonts w:ascii="Lato" w:hAnsi="Lato"/>
                <w:sz w:val="16"/>
                <w:szCs w:val="16"/>
              </w:rPr>
            </w:pPr>
          </w:p>
        </w:tc>
      </w:tr>
      <w:tr w:rsidR="008F5681" w:rsidRPr="00BD3EA9" w14:paraId="1CB57EF5" w14:textId="77777777" w:rsidTr="00705D65">
        <w:trPr>
          <w:trHeight w:val="58"/>
        </w:trPr>
        <w:tc>
          <w:tcPr>
            <w:tcW w:w="11113" w:type="dxa"/>
            <w:gridSpan w:val="5"/>
            <w:tcBorders>
              <w:bottom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C5DFCBB" w14:textId="77777777" w:rsidR="008F5681" w:rsidRPr="00A20A69" w:rsidRDefault="008F5681" w:rsidP="00705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Inter" w:hAnsi="Lato" w:cstheme="majorHAnsi"/>
                <w:sz w:val="16"/>
                <w:szCs w:val="16"/>
              </w:rPr>
            </w:pPr>
          </w:p>
        </w:tc>
      </w:tr>
      <w:tr w:rsidR="008F5681" w:rsidRPr="00BD3EA9" w14:paraId="0A6D3A74" w14:textId="77777777" w:rsidTr="00705D65">
        <w:trPr>
          <w:trHeight w:val="286"/>
        </w:trPr>
        <w:tc>
          <w:tcPr>
            <w:tcW w:w="11113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5DFB3D58" w14:textId="7E4F69AF" w:rsidR="008F5681" w:rsidRPr="00BD3EA9" w:rsidRDefault="008F5681" w:rsidP="00705D65">
            <w:pPr>
              <w:widowControl w:val="0"/>
              <w:spacing w:line="240" w:lineRule="auto"/>
              <w:rPr>
                <w:rFonts w:asciiTheme="majorHAnsi" w:eastAsia="Poppins" w:hAnsiTheme="majorHAnsi" w:cstheme="majorHAnsi"/>
                <w:b/>
                <w:sz w:val="24"/>
                <w:szCs w:val="24"/>
              </w:rPr>
            </w:pPr>
            <w:r w:rsidRPr="00780276">
              <w:rPr>
                <w:rFonts w:ascii="Poppins" w:eastAsia="Poppins" w:hAnsi="Poppins" w:cs="Poppins"/>
                <w:b/>
              </w:rPr>
              <w:t>SKILLS</w:t>
            </w:r>
          </w:p>
        </w:tc>
      </w:tr>
      <w:tr w:rsidR="008F5681" w:rsidRPr="00BD3EA9" w14:paraId="3F05E653" w14:textId="77777777" w:rsidTr="00705D65">
        <w:trPr>
          <w:trHeight w:val="658"/>
        </w:trPr>
        <w:tc>
          <w:tcPr>
            <w:tcW w:w="11113" w:type="dxa"/>
            <w:gridSpan w:val="5"/>
            <w:tcBorders>
              <w:bottom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0BF5C32" w14:textId="77777777" w:rsidR="004B2287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Financial Modelling (Valuation &amp; Forecasting) </w:t>
            </w:r>
          </w:p>
          <w:p w14:paraId="78AE6E94" w14:textId="63CD603C" w:rsidR="004B2287" w:rsidRPr="004B2287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Ratio Analysis &amp; Benchmarking </w:t>
            </w:r>
          </w:p>
          <w:p w14:paraId="56D50A6B" w14:textId="516F2751" w:rsidR="004B2287" w:rsidRPr="004B2287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Technical &amp; Fundamental Analysis (RSI, MACD, Back testing)  </w:t>
            </w:r>
          </w:p>
          <w:p w14:paraId="45FD7F04" w14:textId="053C6750" w:rsidR="004B2287" w:rsidRPr="004B2287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Data </w:t>
            </w:r>
            <w:r w:rsidR="002F759B">
              <w:rPr>
                <w:rFonts w:ascii="Lato" w:hAnsi="Lato" w:cstheme="majorHAnsi"/>
                <w:bCs/>
                <w:sz w:val="16"/>
                <w:szCs w:val="16"/>
              </w:rPr>
              <w:t>visualisation</w:t>
            </w: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: MS Excel, Power BI  </w:t>
            </w:r>
          </w:p>
          <w:p w14:paraId="28FE959F" w14:textId="4330B1F1" w:rsidR="004B2287" w:rsidRPr="004B2287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 xml:space="preserve">Dashboard Creation &amp; Data Visualization  </w:t>
            </w:r>
          </w:p>
          <w:p w14:paraId="364A729C" w14:textId="01D20AC2" w:rsidR="00780276" w:rsidRDefault="004B2287" w:rsidP="004B2287">
            <w:pPr>
              <w:pStyle w:val="ListParagraph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hAnsi="Lato" w:cstheme="majorHAnsi"/>
                <w:bCs/>
                <w:sz w:val="16"/>
                <w:szCs w:val="16"/>
              </w:rPr>
            </w:pPr>
            <w:r w:rsidRPr="004B2287">
              <w:rPr>
                <w:rFonts w:ascii="Lato" w:hAnsi="Lato" w:cstheme="majorHAnsi"/>
                <w:bCs/>
                <w:sz w:val="16"/>
                <w:szCs w:val="16"/>
              </w:rPr>
              <w:t>Soft Skills: Analytical Thinking, Problem Solving, Communication</w:t>
            </w:r>
            <w:r>
              <w:rPr>
                <w:rFonts w:ascii="Lato" w:hAnsi="Lato" w:cstheme="majorHAnsi"/>
                <w:bCs/>
                <w:sz w:val="16"/>
                <w:szCs w:val="16"/>
              </w:rPr>
              <w:t>, Attention to Detail</w:t>
            </w:r>
          </w:p>
          <w:p w14:paraId="07937541" w14:textId="04ED3131" w:rsidR="004B2287" w:rsidRPr="004B2287" w:rsidRDefault="004B2287" w:rsidP="004B2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Lato" w:hAnsi="Lato" w:cstheme="majorHAnsi"/>
                <w:bCs/>
                <w:sz w:val="16"/>
                <w:szCs w:val="16"/>
              </w:rPr>
            </w:pPr>
          </w:p>
        </w:tc>
      </w:tr>
      <w:tr w:rsidR="008F5681" w:rsidRPr="00BD3EA9" w14:paraId="0F90EFFD" w14:textId="77777777" w:rsidTr="00705D65">
        <w:trPr>
          <w:trHeight w:val="895"/>
        </w:trPr>
        <w:tc>
          <w:tcPr>
            <w:tcW w:w="11113" w:type="dxa"/>
            <w:gridSpan w:val="5"/>
            <w:tcBorders>
              <w:top w:val="single" w:sz="6" w:space="0" w:color="000000"/>
              <w:bottom w:val="single" w:sz="6" w:space="0" w:color="FFFFFF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  <w:vAlign w:val="bottom"/>
          </w:tcPr>
          <w:p w14:paraId="6061E254" w14:textId="6FB03F2C" w:rsidR="008F5681" w:rsidRPr="00780276" w:rsidRDefault="008F5681" w:rsidP="00705D6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</w:rPr>
            </w:pPr>
            <w:r w:rsidRPr="00780276">
              <w:rPr>
                <w:rFonts w:ascii="Poppins" w:eastAsia="Poppins" w:hAnsi="Poppins" w:cs="Poppins"/>
                <w:b/>
              </w:rPr>
              <w:t xml:space="preserve">TOOLS </w:t>
            </w:r>
          </w:p>
          <w:p w14:paraId="4D94BE37" w14:textId="0DF44192" w:rsidR="008F5681" w:rsidRPr="00780276" w:rsidRDefault="008F5681" w:rsidP="00705D65">
            <w:pPr>
              <w:widowControl w:val="0"/>
              <w:spacing w:line="240" w:lineRule="auto"/>
              <w:rPr>
                <w:rFonts w:ascii="Lato" w:hAnsi="Lato"/>
                <w:sz w:val="16"/>
                <w:szCs w:val="16"/>
              </w:rPr>
            </w:pPr>
            <w:r w:rsidRPr="00780276">
              <w:rPr>
                <w:rFonts w:ascii="Lato" w:hAnsi="Lato"/>
                <w:sz w:val="16"/>
                <w:szCs w:val="16"/>
              </w:rPr>
              <w:t>Microsoft Excel 365</w:t>
            </w:r>
            <w:r w:rsidR="00AA3B91" w:rsidRPr="00780276">
              <w:rPr>
                <w:rFonts w:ascii="Lato" w:hAnsi="Lato"/>
                <w:sz w:val="16"/>
                <w:szCs w:val="16"/>
              </w:rPr>
              <w:t xml:space="preserve"> (Advanced) </w:t>
            </w:r>
            <w:r w:rsidRPr="00780276">
              <w:rPr>
                <w:rFonts w:ascii="Lato" w:hAnsi="Lato"/>
                <w:sz w:val="16"/>
                <w:szCs w:val="16"/>
              </w:rPr>
              <w:t xml:space="preserve">| Microsoft Power BI | Microsoft PowerPoint | R Studio (Basic) | </w:t>
            </w:r>
            <w:r w:rsidR="005F7CD4" w:rsidRPr="00780276">
              <w:rPr>
                <w:rFonts w:ascii="Lato" w:hAnsi="Lato"/>
                <w:sz w:val="16"/>
                <w:szCs w:val="16"/>
              </w:rPr>
              <w:t>SAP FICO</w:t>
            </w:r>
            <w:r w:rsidR="00F94004">
              <w:rPr>
                <w:rFonts w:ascii="Lato" w:hAnsi="Lato"/>
                <w:sz w:val="16"/>
                <w:szCs w:val="16"/>
              </w:rPr>
              <w:t xml:space="preserve"> | Tableau |</w:t>
            </w:r>
          </w:p>
          <w:p w14:paraId="5E521F8B" w14:textId="77777777" w:rsidR="008F5681" w:rsidRPr="00A20A69" w:rsidRDefault="008F5681" w:rsidP="00705D65">
            <w:pPr>
              <w:widowControl w:val="0"/>
              <w:spacing w:line="240" w:lineRule="auto"/>
              <w:rPr>
                <w:rFonts w:ascii="Lato" w:eastAsia="Poppins" w:hAnsi="Lato" w:cstheme="majorHAnsi"/>
                <w:b/>
                <w:sz w:val="16"/>
                <w:szCs w:val="16"/>
              </w:rPr>
            </w:pPr>
          </w:p>
        </w:tc>
      </w:tr>
      <w:tr w:rsidR="008F5681" w:rsidRPr="00BD3EA9" w14:paraId="17117EA2" w14:textId="77777777" w:rsidTr="00705D65">
        <w:trPr>
          <w:trHeight w:val="439"/>
        </w:trPr>
        <w:tc>
          <w:tcPr>
            <w:tcW w:w="11113" w:type="dxa"/>
            <w:gridSpan w:val="5"/>
            <w:tcBorders>
              <w:top w:val="single" w:sz="6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bottom"/>
          </w:tcPr>
          <w:p w14:paraId="0D05155E" w14:textId="7F36B871" w:rsidR="008F5681" w:rsidRPr="00BD3EA9" w:rsidRDefault="008F5681" w:rsidP="00705D65">
            <w:pPr>
              <w:widowControl w:val="0"/>
              <w:spacing w:line="240" w:lineRule="auto"/>
              <w:rPr>
                <w:rFonts w:asciiTheme="majorHAnsi" w:eastAsia="Poppins" w:hAnsiTheme="majorHAnsi" w:cstheme="majorHAnsi"/>
                <w:b/>
                <w:sz w:val="24"/>
                <w:szCs w:val="24"/>
              </w:rPr>
            </w:pPr>
            <w:r w:rsidRPr="00780276">
              <w:rPr>
                <w:rFonts w:ascii="Poppins" w:eastAsia="Poppins" w:hAnsi="Poppins" w:cs="Poppins"/>
                <w:b/>
              </w:rPr>
              <w:t>POSITIONS OF RESPONSIBILITY</w:t>
            </w:r>
          </w:p>
        </w:tc>
      </w:tr>
    </w:tbl>
    <w:p w14:paraId="6AEAFEB3" w14:textId="77777777" w:rsidR="00705D65" w:rsidRDefault="00652CC7" w:rsidP="001D6947">
      <w:pPr>
        <w:pStyle w:val="ListParagraph"/>
        <w:numPr>
          <w:ilvl w:val="0"/>
          <w:numId w:val="23"/>
        </w:numPr>
        <w:jc w:val="both"/>
        <w:rPr>
          <w:rFonts w:ascii="Lato" w:hAnsi="Lato"/>
          <w:sz w:val="16"/>
          <w:szCs w:val="16"/>
        </w:rPr>
      </w:pPr>
      <w:r w:rsidRPr="00705D65">
        <w:rPr>
          <w:rFonts w:ascii="Lato" w:hAnsi="Lato"/>
          <w:b/>
          <w:bCs/>
          <w:sz w:val="16"/>
          <w:szCs w:val="16"/>
        </w:rPr>
        <w:t>Smavesh Annual Fest – FIIB Delhi</w:t>
      </w:r>
      <w:r w:rsidRPr="00705D65">
        <w:rPr>
          <w:rFonts w:ascii="Lato" w:hAnsi="Lato"/>
          <w:sz w:val="16"/>
          <w:szCs w:val="16"/>
        </w:rPr>
        <w:t xml:space="preserve">: </w:t>
      </w:r>
      <w:r w:rsidR="00705D65" w:rsidRPr="00705D65">
        <w:rPr>
          <w:rFonts w:ascii="Lato" w:hAnsi="Lato"/>
          <w:sz w:val="16"/>
          <w:szCs w:val="16"/>
        </w:rPr>
        <w:t>Coordinated planning and smooth on-ground execution of flagship and sports events at FIIB, ensuring timely operations and structured workflow.</w:t>
      </w:r>
    </w:p>
    <w:p w14:paraId="27B72764" w14:textId="77777777" w:rsidR="00705D65" w:rsidRPr="00705D65" w:rsidRDefault="00652CC7" w:rsidP="00FF6667">
      <w:pPr>
        <w:pStyle w:val="ListParagraph"/>
        <w:numPr>
          <w:ilvl w:val="0"/>
          <w:numId w:val="23"/>
        </w:numPr>
        <w:jc w:val="both"/>
        <w:rPr>
          <w:rFonts w:ascii="Lato" w:hAnsi="Lato" w:cstheme="majorHAnsi"/>
          <w:sz w:val="16"/>
          <w:szCs w:val="16"/>
        </w:rPr>
      </w:pPr>
      <w:r w:rsidRPr="00705D65">
        <w:rPr>
          <w:rFonts w:ascii="Lato" w:hAnsi="Lato"/>
          <w:b/>
          <w:bCs/>
          <w:sz w:val="16"/>
          <w:szCs w:val="16"/>
        </w:rPr>
        <w:t>Ranbhoomi Sports Event – FIIB Delhi:</w:t>
      </w:r>
      <w:r w:rsidRPr="00705D65">
        <w:rPr>
          <w:rFonts w:ascii="Lato" w:hAnsi="Lato"/>
          <w:sz w:val="16"/>
          <w:szCs w:val="16"/>
        </w:rPr>
        <w:t xml:space="preserve"> </w:t>
      </w:r>
      <w:r w:rsidR="00705D65" w:rsidRPr="00705D65">
        <w:rPr>
          <w:rFonts w:ascii="Lato" w:hAnsi="Lato"/>
          <w:sz w:val="16"/>
          <w:szCs w:val="16"/>
        </w:rPr>
        <w:t>Collaborated with multiple teams and stakeholders to maintain seamless communication and effective coordination during high-pressure schedules.</w:t>
      </w:r>
    </w:p>
    <w:p w14:paraId="6156B82C" w14:textId="6A5E5D38" w:rsidR="00267BFB" w:rsidRPr="00705D65" w:rsidRDefault="00652CC7" w:rsidP="00032CF2">
      <w:pPr>
        <w:pStyle w:val="ListParagraph"/>
        <w:numPr>
          <w:ilvl w:val="0"/>
          <w:numId w:val="23"/>
        </w:numPr>
        <w:jc w:val="both"/>
        <w:rPr>
          <w:rFonts w:ascii="Lato" w:hAnsi="Lato" w:cstheme="majorHAnsi"/>
          <w:sz w:val="16"/>
          <w:szCs w:val="16"/>
        </w:rPr>
      </w:pPr>
      <w:r w:rsidRPr="00705D65">
        <w:rPr>
          <w:rFonts w:ascii="Lato" w:hAnsi="Lato"/>
          <w:b/>
          <w:bCs/>
          <w:sz w:val="16"/>
          <w:szCs w:val="16"/>
        </w:rPr>
        <w:t>College Fest – Ranchi University:</w:t>
      </w:r>
      <w:r w:rsidRPr="00705D65">
        <w:rPr>
          <w:rFonts w:ascii="Lato" w:hAnsi="Lato"/>
          <w:sz w:val="16"/>
          <w:szCs w:val="16"/>
        </w:rPr>
        <w:t xml:space="preserve"> </w:t>
      </w:r>
      <w:r w:rsidR="00705D65" w:rsidRPr="00705D65">
        <w:rPr>
          <w:rFonts w:ascii="Lato" w:hAnsi="Lato"/>
          <w:sz w:val="16"/>
          <w:szCs w:val="16"/>
        </w:rPr>
        <w:t>Managed event logistics and quick issue resolution, enhancing organizational efficiency and problem-solving ability.</w:t>
      </w:r>
    </w:p>
    <w:sectPr w:rsidR="00267BFB" w:rsidRPr="00705D65" w:rsidSect="00771C58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t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E49"/>
    <w:multiLevelType w:val="hybridMultilevel"/>
    <w:tmpl w:val="8C948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31A4"/>
    <w:multiLevelType w:val="hybridMultilevel"/>
    <w:tmpl w:val="54989E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7D81"/>
    <w:multiLevelType w:val="hybridMultilevel"/>
    <w:tmpl w:val="27509B52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A2F450F"/>
    <w:multiLevelType w:val="multilevel"/>
    <w:tmpl w:val="1CF8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B04E6"/>
    <w:multiLevelType w:val="hybridMultilevel"/>
    <w:tmpl w:val="4AB8F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1A63"/>
    <w:multiLevelType w:val="hybridMultilevel"/>
    <w:tmpl w:val="01B267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C71"/>
    <w:multiLevelType w:val="multilevel"/>
    <w:tmpl w:val="C32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2028"/>
    <w:multiLevelType w:val="hybridMultilevel"/>
    <w:tmpl w:val="A322B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1A78"/>
    <w:multiLevelType w:val="hybridMultilevel"/>
    <w:tmpl w:val="2DE61C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138D"/>
    <w:multiLevelType w:val="hybridMultilevel"/>
    <w:tmpl w:val="13040292"/>
    <w:lvl w:ilvl="0" w:tplc="F35E17CA">
      <w:numFmt w:val="bullet"/>
      <w:lvlText w:val="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76C97"/>
    <w:multiLevelType w:val="hybridMultilevel"/>
    <w:tmpl w:val="7C96F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737A6"/>
    <w:multiLevelType w:val="hybridMultilevel"/>
    <w:tmpl w:val="2F645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3245F"/>
    <w:multiLevelType w:val="hybridMultilevel"/>
    <w:tmpl w:val="2B28F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C1CC1"/>
    <w:multiLevelType w:val="hybridMultilevel"/>
    <w:tmpl w:val="A1CEF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7E9A"/>
    <w:multiLevelType w:val="hybridMultilevel"/>
    <w:tmpl w:val="3FCC01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A077D"/>
    <w:multiLevelType w:val="hybridMultilevel"/>
    <w:tmpl w:val="0A7ED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04B8C"/>
    <w:multiLevelType w:val="hybridMultilevel"/>
    <w:tmpl w:val="191A3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56405"/>
    <w:multiLevelType w:val="hybridMultilevel"/>
    <w:tmpl w:val="D5F21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6F77"/>
    <w:multiLevelType w:val="hybridMultilevel"/>
    <w:tmpl w:val="F84C3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7192E"/>
    <w:multiLevelType w:val="multilevel"/>
    <w:tmpl w:val="65DC38C8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BC0B49"/>
    <w:multiLevelType w:val="hybridMultilevel"/>
    <w:tmpl w:val="636E0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86DB2"/>
    <w:multiLevelType w:val="hybridMultilevel"/>
    <w:tmpl w:val="18C6C3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F673C"/>
    <w:multiLevelType w:val="hybridMultilevel"/>
    <w:tmpl w:val="4CEE9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626D"/>
    <w:multiLevelType w:val="hybridMultilevel"/>
    <w:tmpl w:val="828EED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1903"/>
    <w:multiLevelType w:val="hybridMultilevel"/>
    <w:tmpl w:val="9F66B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45935"/>
    <w:multiLevelType w:val="hybridMultilevel"/>
    <w:tmpl w:val="285A63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62C26"/>
    <w:multiLevelType w:val="hybridMultilevel"/>
    <w:tmpl w:val="EBAA84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56293">
    <w:abstractNumId w:val="19"/>
  </w:num>
  <w:num w:numId="2" w16cid:durableId="1009600396">
    <w:abstractNumId w:val="13"/>
  </w:num>
  <w:num w:numId="3" w16cid:durableId="686173057">
    <w:abstractNumId w:val="9"/>
  </w:num>
  <w:num w:numId="4" w16cid:durableId="1768771381">
    <w:abstractNumId w:val="8"/>
  </w:num>
  <w:num w:numId="5" w16cid:durableId="192040345">
    <w:abstractNumId w:val="24"/>
  </w:num>
  <w:num w:numId="6" w16cid:durableId="246036027">
    <w:abstractNumId w:val="2"/>
  </w:num>
  <w:num w:numId="7" w16cid:durableId="204877948">
    <w:abstractNumId w:val="20"/>
  </w:num>
  <w:num w:numId="8" w16cid:durableId="1686832132">
    <w:abstractNumId w:val="12"/>
  </w:num>
  <w:num w:numId="9" w16cid:durableId="1836415048">
    <w:abstractNumId w:val="23"/>
  </w:num>
  <w:num w:numId="10" w16cid:durableId="1743598502">
    <w:abstractNumId w:val="18"/>
  </w:num>
  <w:num w:numId="11" w16cid:durableId="636647309">
    <w:abstractNumId w:val="4"/>
  </w:num>
  <w:num w:numId="12" w16cid:durableId="151995077">
    <w:abstractNumId w:val="16"/>
  </w:num>
  <w:num w:numId="13" w16cid:durableId="1797409137">
    <w:abstractNumId w:val="15"/>
  </w:num>
  <w:num w:numId="14" w16cid:durableId="362823361">
    <w:abstractNumId w:val="10"/>
  </w:num>
  <w:num w:numId="15" w16cid:durableId="388529112">
    <w:abstractNumId w:val="21"/>
  </w:num>
  <w:num w:numId="16" w16cid:durableId="921722483">
    <w:abstractNumId w:val="7"/>
  </w:num>
  <w:num w:numId="17" w16cid:durableId="361246808">
    <w:abstractNumId w:val="3"/>
  </w:num>
  <w:num w:numId="18" w16cid:durableId="1237089350">
    <w:abstractNumId w:val="6"/>
  </w:num>
  <w:num w:numId="19" w16cid:durableId="28339948">
    <w:abstractNumId w:val="1"/>
  </w:num>
  <w:num w:numId="20" w16cid:durableId="1272785778">
    <w:abstractNumId w:val="26"/>
  </w:num>
  <w:num w:numId="21" w16cid:durableId="1101337453">
    <w:abstractNumId w:val="25"/>
  </w:num>
  <w:num w:numId="22" w16cid:durableId="1138955535">
    <w:abstractNumId w:val="5"/>
  </w:num>
  <w:num w:numId="23" w16cid:durableId="1754426898">
    <w:abstractNumId w:val="22"/>
  </w:num>
  <w:num w:numId="24" w16cid:durableId="938678461">
    <w:abstractNumId w:val="17"/>
  </w:num>
  <w:num w:numId="25" w16cid:durableId="1598366366">
    <w:abstractNumId w:val="14"/>
  </w:num>
  <w:num w:numId="26" w16cid:durableId="2022506973">
    <w:abstractNumId w:val="11"/>
  </w:num>
  <w:num w:numId="27" w16cid:durableId="209605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32"/>
    <w:rsid w:val="000070A8"/>
    <w:rsid w:val="0001097E"/>
    <w:rsid w:val="00026263"/>
    <w:rsid w:val="00050FD6"/>
    <w:rsid w:val="00070650"/>
    <w:rsid w:val="000A381D"/>
    <w:rsid w:val="000A6F9A"/>
    <w:rsid w:val="000B3437"/>
    <w:rsid w:val="000D2A08"/>
    <w:rsid w:val="000F501A"/>
    <w:rsid w:val="001054B3"/>
    <w:rsid w:val="00121EBA"/>
    <w:rsid w:val="0012395C"/>
    <w:rsid w:val="00134653"/>
    <w:rsid w:val="00141297"/>
    <w:rsid w:val="00163136"/>
    <w:rsid w:val="0017173A"/>
    <w:rsid w:val="001760CB"/>
    <w:rsid w:val="0019575E"/>
    <w:rsid w:val="001E4226"/>
    <w:rsid w:val="001E4B18"/>
    <w:rsid w:val="001F35F1"/>
    <w:rsid w:val="00205272"/>
    <w:rsid w:val="00214609"/>
    <w:rsid w:val="002604D0"/>
    <w:rsid w:val="0026305F"/>
    <w:rsid w:val="002675DD"/>
    <w:rsid w:val="00267BFB"/>
    <w:rsid w:val="00290D82"/>
    <w:rsid w:val="00291E6F"/>
    <w:rsid w:val="002A7435"/>
    <w:rsid w:val="002D0098"/>
    <w:rsid w:val="002F759B"/>
    <w:rsid w:val="00305866"/>
    <w:rsid w:val="00311100"/>
    <w:rsid w:val="0031772A"/>
    <w:rsid w:val="003237CC"/>
    <w:rsid w:val="0033264C"/>
    <w:rsid w:val="00336E98"/>
    <w:rsid w:val="00347A30"/>
    <w:rsid w:val="00382E34"/>
    <w:rsid w:val="003856F8"/>
    <w:rsid w:val="003A0134"/>
    <w:rsid w:val="003A0937"/>
    <w:rsid w:val="003B7976"/>
    <w:rsid w:val="003C4545"/>
    <w:rsid w:val="003D09CC"/>
    <w:rsid w:val="003E5E11"/>
    <w:rsid w:val="003E7032"/>
    <w:rsid w:val="003F2EF9"/>
    <w:rsid w:val="00424DBB"/>
    <w:rsid w:val="00426978"/>
    <w:rsid w:val="004350CC"/>
    <w:rsid w:val="004859BA"/>
    <w:rsid w:val="004B2287"/>
    <w:rsid w:val="0050089C"/>
    <w:rsid w:val="00525B47"/>
    <w:rsid w:val="00552018"/>
    <w:rsid w:val="005C5724"/>
    <w:rsid w:val="005C5F37"/>
    <w:rsid w:val="005F7CD4"/>
    <w:rsid w:val="006016EB"/>
    <w:rsid w:val="00652CC7"/>
    <w:rsid w:val="00663990"/>
    <w:rsid w:val="00690B9E"/>
    <w:rsid w:val="006A2337"/>
    <w:rsid w:val="006C6478"/>
    <w:rsid w:val="006E2C44"/>
    <w:rsid w:val="006F60E9"/>
    <w:rsid w:val="00705D65"/>
    <w:rsid w:val="00730CFD"/>
    <w:rsid w:val="00733953"/>
    <w:rsid w:val="00746274"/>
    <w:rsid w:val="00766247"/>
    <w:rsid w:val="00771C58"/>
    <w:rsid w:val="007768B8"/>
    <w:rsid w:val="00780276"/>
    <w:rsid w:val="00780D5B"/>
    <w:rsid w:val="00791AB5"/>
    <w:rsid w:val="007A1D82"/>
    <w:rsid w:val="007A3878"/>
    <w:rsid w:val="007A7F75"/>
    <w:rsid w:val="007C7BCA"/>
    <w:rsid w:val="00804978"/>
    <w:rsid w:val="00817E02"/>
    <w:rsid w:val="00827431"/>
    <w:rsid w:val="00831E2C"/>
    <w:rsid w:val="00833181"/>
    <w:rsid w:val="00851245"/>
    <w:rsid w:val="008771E7"/>
    <w:rsid w:val="008871C9"/>
    <w:rsid w:val="00894526"/>
    <w:rsid w:val="00895547"/>
    <w:rsid w:val="00897765"/>
    <w:rsid w:val="008A33D4"/>
    <w:rsid w:val="008D5EA9"/>
    <w:rsid w:val="008E5F47"/>
    <w:rsid w:val="008E733B"/>
    <w:rsid w:val="008F5681"/>
    <w:rsid w:val="009030B5"/>
    <w:rsid w:val="00916818"/>
    <w:rsid w:val="00951079"/>
    <w:rsid w:val="00981A4B"/>
    <w:rsid w:val="009B29F4"/>
    <w:rsid w:val="009F03B0"/>
    <w:rsid w:val="009F5FBA"/>
    <w:rsid w:val="00A20A69"/>
    <w:rsid w:val="00A20F21"/>
    <w:rsid w:val="00A21235"/>
    <w:rsid w:val="00A346EB"/>
    <w:rsid w:val="00A34BF5"/>
    <w:rsid w:val="00A43C23"/>
    <w:rsid w:val="00A5006C"/>
    <w:rsid w:val="00A67213"/>
    <w:rsid w:val="00A72885"/>
    <w:rsid w:val="00A96C09"/>
    <w:rsid w:val="00AA3B91"/>
    <w:rsid w:val="00AB4DD9"/>
    <w:rsid w:val="00AB5E6B"/>
    <w:rsid w:val="00AC1E3E"/>
    <w:rsid w:val="00AF5796"/>
    <w:rsid w:val="00B07907"/>
    <w:rsid w:val="00B2786B"/>
    <w:rsid w:val="00B409FB"/>
    <w:rsid w:val="00B56CCD"/>
    <w:rsid w:val="00B57D26"/>
    <w:rsid w:val="00B66AC1"/>
    <w:rsid w:val="00B72D00"/>
    <w:rsid w:val="00B92DD3"/>
    <w:rsid w:val="00BA737A"/>
    <w:rsid w:val="00BB461D"/>
    <w:rsid w:val="00BD3EA9"/>
    <w:rsid w:val="00BE2FB3"/>
    <w:rsid w:val="00BE3090"/>
    <w:rsid w:val="00C035DF"/>
    <w:rsid w:val="00C13683"/>
    <w:rsid w:val="00C14C52"/>
    <w:rsid w:val="00C27687"/>
    <w:rsid w:val="00C634E9"/>
    <w:rsid w:val="00C76D95"/>
    <w:rsid w:val="00C83ED9"/>
    <w:rsid w:val="00C94501"/>
    <w:rsid w:val="00CA7A1F"/>
    <w:rsid w:val="00D21B84"/>
    <w:rsid w:val="00D439A9"/>
    <w:rsid w:val="00D55F4C"/>
    <w:rsid w:val="00D670E7"/>
    <w:rsid w:val="00D876AF"/>
    <w:rsid w:val="00D92C8A"/>
    <w:rsid w:val="00D95646"/>
    <w:rsid w:val="00DA30A4"/>
    <w:rsid w:val="00DA57C8"/>
    <w:rsid w:val="00DA69BF"/>
    <w:rsid w:val="00DB0145"/>
    <w:rsid w:val="00DB466E"/>
    <w:rsid w:val="00DF1EB2"/>
    <w:rsid w:val="00E32A02"/>
    <w:rsid w:val="00E45598"/>
    <w:rsid w:val="00E52CEF"/>
    <w:rsid w:val="00E538DD"/>
    <w:rsid w:val="00EA1BAC"/>
    <w:rsid w:val="00EA4402"/>
    <w:rsid w:val="00EA48F1"/>
    <w:rsid w:val="00ED36A7"/>
    <w:rsid w:val="00ED71A7"/>
    <w:rsid w:val="00EF3181"/>
    <w:rsid w:val="00F115C8"/>
    <w:rsid w:val="00F13174"/>
    <w:rsid w:val="00F56385"/>
    <w:rsid w:val="00F70F3D"/>
    <w:rsid w:val="00F8378D"/>
    <w:rsid w:val="00F94004"/>
    <w:rsid w:val="00FC07EF"/>
    <w:rsid w:val="00FC1E84"/>
    <w:rsid w:val="00FC63A3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115EC"/>
  <w15:docId w15:val="{BFD43490-41A6-4E0D-BF16-E96FD6BE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F6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F8378D"/>
    <w:rPr>
      <w:b/>
      <w:bCs/>
    </w:rPr>
  </w:style>
  <w:style w:type="paragraph" w:styleId="ListParagraph">
    <w:name w:val="List Paragraph"/>
    <w:basedOn w:val="Normal"/>
    <w:uiPriority w:val="34"/>
    <w:qFormat/>
    <w:rsid w:val="00F8378D"/>
    <w:pPr>
      <w:ind w:left="720"/>
      <w:contextualSpacing/>
    </w:pPr>
  </w:style>
  <w:style w:type="paragraph" w:styleId="NoSpacing">
    <w:name w:val="No Spacing"/>
    <w:uiPriority w:val="1"/>
    <w:qFormat/>
    <w:rsid w:val="00804978"/>
    <w:pPr>
      <w:spacing w:line="240" w:lineRule="auto"/>
      <w:ind w:left="130" w:right="53" w:hanging="10"/>
    </w:pPr>
    <w:rPr>
      <w:rFonts w:ascii="Times New Roman" w:eastAsia="Times New Roman" w:hAnsi="Times New Roman" w:cs="Times New Roman"/>
      <w:color w:val="000000"/>
      <w:sz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26-urvashi.kumari@fiib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in/urvashi-kumari-623a913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Urvashi Priya</dc:creator>
  <cp:keywords/>
  <dc:description/>
  <cp:lastModifiedBy>Urvashi Kumari</cp:lastModifiedBy>
  <cp:revision>20</cp:revision>
  <cp:lastPrinted>2025-11-21T11:06:00Z</cp:lastPrinted>
  <dcterms:created xsi:type="dcterms:W3CDTF">2025-11-04T16:32:00Z</dcterms:created>
  <dcterms:modified xsi:type="dcterms:W3CDTF">2025-12-12T10:46:00Z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a560ea312942ecf579b1ddb8da36eca46b3462c12cedb1c4f8306eeb004fb269</vt:lpwstr>
  </property>
</Properties>
</file>